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D47C4B" w14:textId="46091520" w:rsidR="00F16B9F" w:rsidRDefault="00F16B9F" w:rsidP="00F16B9F">
      <w:r>
        <w:t>Previdência Social - INSS</w:t>
      </w:r>
    </w:p>
    <w:p w14:paraId="19CBD8EB" w14:textId="657C4770" w:rsidR="00F16B9F" w:rsidRDefault="00F16B9F" w:rsidP="00F16B9F">
      <w:r>
        <w:t>Na Previdência Social, a contribuição é obrigatória por lei para os trabalhadores que fazem parte do sistema formal de emprego</w:t>
      </w:r>
    </w:p>
    <w:p w14:paraId="01E6D8B6" w14:textId="6BCD7338" w:rsidR="00F16B9F" w:rsidRDefault="00F16B9F" w:rsidP="00F16B9F">
      <w:r>
        <w:t>O modelo da Previdência Social brasileira adota o regime de repartição simples, que funciona em regime de caixa. Nesse caso, as contribuições dos trabalhadores ativos são utilizadas para o pagamento dos benefícios dos aposentados, pensionistas e demais segurados do INSS. Em suma, o trabalhador ativo financia o trabalhador aposentado.</w:t>
      </w:r>
    </w:p>
    <w:p w14:paraId="7C9E5725" w14:textId="44AFFC48" w:rsidR="00F16B9F" w:rsidRDefault="00F16B9F" w:rsidP="00F16B9F">
      <w:r>
        <w:t xml:space="preserve">O regime de repartição simples teria um equilíbrio se a quantidade de trabalhadores ativos fosse maior do que a quantidade de trabalhadores inativos, mas devido ao crescimento demográfico (aumento de estimativa de vida e menor índice de natalidade) do Brasil, o desequilíbrio entre as contribuições e o pagamento de benefícios tem aumentado ano após ano. </w:t>
      </w:r>
    </w:p>
    <w:p w14:paraId="5B086321" w14:textId="2E6E24E8" w:rsidR="00F16B9F" w:rsidRDefault="00F16B9F" w:rsidP="00F16B9F">
      <w:r>
        <w:t>Desta forma, essa é uma das razões pela qual o trabalhador precisa de sua orientação na hora de escolher uma Previdência Complementar.</w:t>
      </w:r>
    </w:p>
    <w:p w14:paraId="1F9F8C17" w14:textId="528AAE73" w:rsidR="00F16B9F" w:rsidRDefault="00F16B9F" w:rsidP="00F16B9F">
      <w:r>
        <w:t xml:space="preserve">Os segurados do INSS </w:t>
      </w:r>
    </w:p>
    <w:p w14:paraId="6B8D32FE" w14:textId="2D534746" w:rsidR="00F16B9F" w:rsidRDefault="00F16B9F" w:rsidP="00F16B9F">
      <w:r>
        <w:t>Já entendemos que o INSS é um “seguro” mantido pelo governo e que, para os trabalhadores formais, a adesão é obrigatória. Mas não é somente os trabalhadores com regime de CLT que podem contribuir para esse sistema.</w:t>
      </w:r>
    </w:p>
    <w:p w14:paraId="0C374A13" w14:textId="6EE20592" w:rsidR="00F16B9F" w:rsidRDefault="00F16B9F" w:rsidP="00F16B9F">
      <w:r>
        <w:t xml:space="preserve">Vejamos quem mais pode contribuir para o INSS: </w:t>
      </w:r>
    </w:p>
    <w:p w14:paraId="5E1B6AD5" w14:textId="6FFC9444" w:rsidR="00F16B9F" w:rsidRDefault="00F16B9F" w:rsidP="00F16B9F">
      <w:r>
        <w:rPr>
          <w:rFonts w:ascii="Segoe UI Symbol" w:hAnsi="Segoe UI Symbol" w:cs="Segoe UI Symbol"/>
        </w:rPr>
        <w:t>⯀</w:t>
      </w:r>
      <w:r>
        <w:t xml:space="preserve"> Empregado/Empregado doméstico: como já falamos aqui, o trabalhador contratado sob o regime de CLT tem obrigação de contribuir para o INSS. Condição para se tornar segurado: deve estar trabalhando e ter a carteira de trabalho assinada</w:t>
      </w:r>
    </w:p>
    <w:p w14:paraId="5605E506" w14:textId="47D0FA00" w:rsidR="00F16B9F" w:rsidRDefault="00F16B9F" w:rsidP="00F16B9F">
      <w:r>
        <w:rPr>
          <w:rFonts w:ascii="Segoe UI Symbol" w:hAnsi="Segoe UI Symbol" w:cs="Segoe UI Symbol"/>
        </w:rPr>
        <w:t>⯀</w:t>
      </w:r>
      <w:r>
        <w:t xml:space="preserve"> Trabalhador avulso: trabalhador que presta serviço a diversas empresas, sem vínculo de emprego. Condição para se tornar segurado: deve possuir cadastro e registro no sindicato ou órgão gestor de mão de obra. </w:t>
      </w:r>
    </w:p>
    <w:p w14:paraId="3B12A969" w14:textId="3713B13C" w:rsidR="00F16B9F" w:rsidRDefault="00F16B9F" w:rsidP="00F16B9F">
      <w:r>
        <w:rPr>
          <w:rFonts w:ascii="Segoe UI Symbol" w:hAnsi="Segoe UI Symbol" w:cs="Segoe UI Symbol"/>
        </w:rPr>
        <w:t>⯀</w:t>
      </w:r>
      <w:r>
        <w:t xml:space="preserve"> Contribuinte individual: pessoa que trabalha por conta própria (autônomo) ou que presta serviço de natureza eventual a empresas, sem vínculo empregatício. Condição para se tornar segurado: deve, obrigatoriamente, inscrever-se e pagar, mensalmente, as contribuições por meio de guia de recolhimento. O empreendedor individual (MEI) deve optar pelo Simples Nacional e recolher a contribuição por meio do Documento de Arrecadação do Simples Nacional. </w:t>
      </w:r>
    </w:p>
    <w:p w14:paraId="6F1EE9BF" w14:textId="09831F78" w:rsidR="00F16B9F" w:rsidRDefault="00F16B9F" w:rsidP="00F16B9F">
      <w:r>
        <w:rPr>
          <w:rFonts w:ascii="Segoe UI Symbol" w:hAnsi="Segoe UI Symbol" w:cs="Segoe UI Symbol"/>
        </w:rPr>
        <w:t>⯀</w:t>
      </w:r>
      <w:r>
        <w:t xml:space="preserve"> Segurado especial: agricultor familiar, pescador artesanal ou indígena que exerce atividade individualmente ou em regime de economia familiar. </w:t>
      </w:r>
    </w:p>
    <w:p w14:paraId="0D405C89" w14:textId="065AFBD0" w:rsidR="00F16B9F" w:rsidRDefault="00F16B9F" w:rsidP="00F16B9F">
      <w:r>
        <w:rPr>
          <w:rFonts w:ascii="Cambria Math" w:hAnsi="Cambria Math" w:cs="Cambria Math"/>
        </w:rPr>
        <w:t>◇</w:t>
      </w:r>
      <w:r>
        <w:t xml:space="preserve"> Condi</w:t>
      </w:r>
      <w:r>
        <w:rPr>
          <w:rFonts w:ascii="Calibri" w:hAnsi="Calibri" w:cs="Calibri"/>
        </w:rPr>
        <w:t>çã</w:t>
      </w:r>
      <w:r>
        <w:t xml:space="preserve">o para se tornar segurado: </w:t>
      </w:r>
      <w:r>
        <w:rPr>
          <w:rFonts w:ascii="Calibri" w:hAnsi="Calibri" w:cs="Calibri"/>
        </w:rPr>
        <w:t>é</w:t>
      </w:r>
      <w:r>
        <w:t xml:space="preserve"> necess</w:t>
      </w:r>
      <w:r>
        <w:rPr>
          <w:rFonts w:ascii="Calibri" w:hAnsi="Calibri" w:cs="Calibri"/>
        </w:rPr>
        <w:t>á</w:t>
      </w:r>
      <w:r>
        <w:t>rio comprovar o exerc</w:t>
      </w:r>
      <w:r>
        <w:rPr>
          <w:rFonts w:ascii="Calibri" w:hAnsi="Calibri" w:cs="Calibri"/>
        </w:rPr>
        <w:t>í</w:t>
      </w:r>
      <w:r>
        <w:t xml:space="preserve">cio da atividade rural ou pesqueira. </w:t>
      </w:r>
    </w:p>
    <w:p w14:paraId="792ABAA6" w14:textId="77777777" w:rsidR="00F16B9F" w:rsidRDefault="00F16B9F" w:rsidP="00F16B9F">
      <w:r>
        <w:t xml:space="preserve"> </w:t>
      </w:r>
      <w:r>
        <w:rPr>
          <w:rFonts w:ascii="Segoe UI Symbol" w:hAnsi="Segoe UI Symbol" w:cs="Segoe UI Symbol"/>
        </w:rPr>
        <w:t>⯀</w:t>
      </w:r>
      <w:r>
        <w:t xml:space="preserve"> Segurado facultativo: pessoa maior de 16 anos de idade que não tem renda própria, mas contribui para a Previdência Social, como o estudante, a dona de casa e o síndico não remunerado. </w:t>
      </w:r>
      <w:r>
        <w:rPr>
          <w:rFonts w:ascii="Cambria Math" w:hAnsi="Cambria Math" w:cs="Cambria Math"/>
        </w:rPr>
        <w:t>◇</w:t>
      </w:r>
      <w:r>
        <w:t xml:space="preserve"> Condi</w:t>
      </w:r>
      <w:r>
        <w:rPr>
          <w:rFonts w:ascii="Calibri" w:hAnsi="Calibri" w:cs="Calibri"/>
        </w:rPr>
        <w:t>çã</w:t>
      </w:r>
      <w:r>
        <w:t>o para se tornar segurado: deve se inscrever e pagar, mensalmente, as contribui</w:t>
      </w:r>
      <w:r>
        <w:rPr>
          <w:rFonts w:ascii="Calibri" w:hAnsi="Calibri" w:cs="Calibri"/>
        </w:rPr>
        <w:t>çõ</w:t>
      </w:r>
      <w:r>
        <w:t>es.</w:t>
      </w:r>
    </w:p>
    <w:p w14:paraId="29D0BC4B" w14:textId="6B7B1D65" w:rsidR="00F16B9F" w:rsidRDefault="00F16B9F" w:rsidP="00F16B9F">
      <w:r>
        <w:t xml:space="preserve">As fontes de recursos da previdência social </w:t>
      </w:r>
    </w:p>
    <w:p w14:paraId="39857931" w14:textId="6D23ACCA" w:rsidR="00F16B9F" w:rsidRDefault="00F16B9F" w:rsidP="00F16B9F">
      <w:r>
        <w:lastRenderedPageBreak/>
        <w:t>Já que falamos que o trabalhador contribui para o INSS enquanto está ativo, precisamos complementar com um pouco mais de detalhes sobre a fonte de recursos do INSS.</w:t>
      </w:r>
    </w:p>
    <w:p w14:paraId="6A6F63EE" w14:textId="0CA8C064" w:rsidR="00F16B9F" w:rsidRDefault="00F16B9F" w:rsidP="00F16B9F">
      <w:r>
        <w:t>O INSS arrecada recursos para pagar os aposentados, pensionistas e outros segurados de três fontes</w:t>
      </w:r>
    </w:p>
    <w:p w14:paraId="5EB8B2A5" w14:textId="40E96B4F" w:rsidR="00F16B9F" w:rsidRDefault="00F16B9F" w:rsidP="00F16B9F">
      <w:r>
        <w:t xml:space="preserve">1. da contribuição dos trabalhadores (como citamos na introdução deste capítulo); </w:t>
      </w:r>
    </w:p>
    <w:p w14:paraId="16CB73E8" w14:textId="55C68B44" w:rsidR="00F16B9F" w:rsidRDefault="00F16B9F" w:rsidP="00F16B9F">
      <w:r>
        <w:t xml:space="preserve">2. dos empregadores. As empresas que contratam funcionários sob o regime CLT devem contribuir mensalmente junto de seus colaboradores; </w:t>
      </w:r>
    </w:p>
    <w:p w14:paraId="6FAA2508" w14:textId="3CD99A2D" w:rsidR="00F16B9F" w:rsidRDefault="00F16B9F" w:rsidP="00F16B9F">
      <w:r>
        <w:t>3. impostos. Esses impostos vêm da CSLL (Contribuição Sobre a Lucro Líquido das empresas), COFINS (Contribuição sobre a renda bruta das empresas) e a contribuição sobre a renda líquida dos concursos e prognósticos (sorteios de mega senas e afins).</w:t>
      </w:r>
    </w:p>
    <w:p w14:paraId="02FC8E76" w14:textId="0B9F90D6" w:rsidR="00F16B9F" w:rsidRDefault="00F16B9F" w:rsidP="00F16B9F">
      <w:r>
        <w:rPr>
          <w:noProof/>
        </w:rPr>
        <w:drawing>
          <wp:inline distT="0" distB="0" distL="0" distR="0" wp14:anchorId="6BFF9524" wp14:editId="34F406AF">
            <wp:extent cx="5391150" cy="236220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391150" cy="2362200"/>
                    </a:xfrm>
                    <a:prstGeom prst="rect">
                      <a:avLst/>
                    </a:prstGeom>
                    <a:noFill/>
                    <a:ln>
                      <a:noFill/>
                    </a:ln>
                  </pic:spPr>
                </pic:pic>
              </a:graphicData>
            </a:graphic>
          </wp:inline>
        </w:drawing>
      </w:r>
    </w:p>
    <w:p w14:paraId="03841CA4" w14:textId="6A949694" w:rsidR="00602D83" w:rsidRDefault="00602D83" w:rsidP="00F16B9F">
      <w:r w:rsidRPr="00602D83">
        <w:t>Benefícios da Previdência Social</w:t>
      </w:r>
    </w:p>
    <w:p w14:paraId="06679C14" w14:textId="6E16BA07" w:rsidR="00F66632" w:rsidRDefault="00F66632" w:rsidP="00F66632">
      <w:r>
        <w:t>Os benefícios da previdência social</w:t>
      </w:r>
    </w:p>
    <w:p w14:paraId="303E34A2" w14:textId="50F1FA28" w:rsidR="00F66632" w:rsidRDefault="00F66632" w:rsidP="00F66632">
      <w:r>
        <w:t xml:space="preserve">Já entendemos quem pode contribuir para o INSS, de onde vêm as receitas dele, mas a pergunta que fica é: o que o contribuinte ganha ao contribuir para esse sistema? </w:t>
      </w:r>
    </w:p>
    <w:p w14:paraId="11C48151" w14:textId="6D5A3A36" w:rsidR="00F66632" w:rsidRDefault="00F66632" w:rsidP="00F66632">
      <w:r>
        <w:t xml:space="preserve">Salário Maternidade: se você é mãe e deu à luz um bebê enquanto estava trabalhando, você sabe do que estou falando. O Salário maternidade é uma renda temporária paga à mãe que acabou de ter filho para que ela possa se recuperar e acompanhar os primeiros meses do crescimento do filho. </w:t>
      </w:r>
    </w:p>
    <w:p w14:paraId="66D8E999" w14:textId="0D64C159" w:rsidR="00F66632" w:rsidRDefault="00F66632" w:rsidP="00F66632">
      <w:r>
        <w:t>Auxílio doença/auxílio acidente: uma renda mensal temporária para o trabalhador que, devido a alguma doença grave ou acidente, está impossibilitado de exercer suas atividades laborais.</w:t>
      </w:r>
    </w:p>
    <w:p w14:paraId="0675294F" w14:textId="39782360" w:rsidR="00F66632" w:rsidRDefault="00F66632" w:rsidP="00F66632">
      <w:r>
        <w:t>Pensão por morte: um pagamento feito ao dependente do segurado que falecer ou, em caso de desaparecimento, ter sua morte declarada judicialmente..</w:t>
      </w:r>
    </w:p>
    <w:p w14:paraId="4076BA9D" w14:textId="28A642FE" w:rsidR="00F66632" w:rsidRDefault="00F66632" w:rsidP="00F66632">
      <w:r>
        <w:t>Auxílio reclusão: pago aos dependentes do segurado que esteja preso em regime fechado ou semiaberto.</w:t>
      </w:r>
    </w:p>
    <w:p w14:paraId="6837ECA8" w14:textId="7A62500F" w:rsidR="00F66632" w:rsidRDefault="00F66632" w:rsidP="00F66632">
      <w:r>
        <w:t>Salário família: valor pago ao empregado de baixa renda, inclusive doméstico, e ao trabalhador avulso, de acordo com o número de filho</w:t>
      </w:r>
    </w:p>
    <w:p w14:paraId="51DAEA95" w14:textId="291DE18B" w:rsidR="00F66632" w:rsidRDefault="00F66632" w:rsidP="00F66632">
      <w:r>
        <w:lastRenderedPageBreak/>
        <w:t>Aposentadoria: esse é o pagamento mais conhecido feito pelo INSS. Um pagamento realizado mensalmente ao trabalhador que cumpriu um período de contribuições e está elegível a receber. É uma renda vitalícia. A aposentadoria paga pelo INSS tem um limite de R$ R$ 6.101,06 e é exatamente por ter esse limite que o contribuinte deve procurar uma Previdência Complementar. Seu papel, como profissional certificado, é orientar o investidor/contribuinte nessa escolha.Já vimos todo o conteúdo necessário sobre a previdência social. Agora, vamos entender, de fato, a previdência complementar</w:t>
      </w:r>
    </w:p>
    <w:p w14:paraId="616193D7" w14:textId="78EB9527" w:rsidR="00602D83" w:rsidRDefault="00F66632" w:rsidP="00F66632">
      <w:r>
        <w:t>Já vimos todo o conteúdo necessário sobre a Previdência Social. Agora, vamos entender, de fato, a Previdência Complementar.</w:t>
      </w:r>
    </w:p>
    <w:p w14:paraId="00C5E7B1" w14:textId="1D28AF05" w:rsidR="00F66632" w:rsidRDefault="00F66632" w:rsidP="00F66632">
      <w:r>
        <w:rPr>
          <w:noProof/>
        </w:rPr>
        <w:drawing>
          <wp:inline distT="0" distB="0" distL="0" distR="0" wp14:anchorId="4688B448" wp14:editId="104E71EB">
            <wp:extent cx="5391150" cy="240030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91150" cy="2400300"/>
                    </a:xfrm>
                    <a:prstGeom prst="rect">
                      <a:avLst/>
                    </a:prstGeom>
                    <a:noFill/>
                    <a:ln>
                      <a:noFill/>
                    </a:ln>
                  </pic:spPr>
                </pic:pic>
              </a:graphicData>
            </a:graphic>
          </wp:inline>
        </w:drawing>
      </w:r>
    </w:p>
    <w:p w14:paraId="3CCF21AE" w14:textId="29D100E8" w:rsidR="00F66632" w:rsidRDefault="000713FF" w:rsidP="00F66632">
      <w:r w:rsidRPr="000713FF">
        <w:t>Previdência Complementar</w:t>
      </w:r>
    </w:p>
    <w:p w14:paraId="550C070B" w14:textId="4170C687" w:rsidR="000713FF" w:rsidRDefault="000713FF" w:rsidP="000713FF">
      <w:r>
        <w:t>Características da Previdência Complementar</w:t>
      </w:r>
    </w:p>
    <w:p w14:paraId="79FE01D9" w14:textId="3B2B22A7" w:rsidR="000713FF" w:rsidRDefault="000713FF" w:rsidP="000713FF">
      <w:r>
        <w:t xml:space="preserve"> Já entendemos que o INSS adota o regime de repartição simples, certo? A Previdência Complementar adota o regime de capitalização.</w:t>
      </w:r>
    </w:p>
    <w:p w14:paraId="4753C98A" w14:textId="2ED84DBD" w:rsidR="000713FF" w:rsidRDefault="000713FF" w:rsidP="000713FF">
      <w:r>
        <w:t>Basicamente, é o mesmo que dizer que o investidor coloca o dinheiro dele em um fundo que vai, ao longo do tempo, rentabilizar esse dinheiro para que o investidor aumente seu patrimônio e possa complementar sua aposentadoria. O ponto é que uma EAPC (Entidade Aberta de Previdência Complementar) não pode, assim como um fundo, comprar ativos no Mercado Financeiro. Para isso, ela terá de alocar os recursos dos investidores em um Fundo de Investimento especificamente constituído</w:t>
      </w:r>
    </w:p>
    <w:p w14:paraId="45D40465" w14:textId="448B4B65" w:rsidR="000713FF" w:rsidRDefault="000713FF" w:rsidP="000713FF">
      <w:r>
        <w:t xml:space="preserve">FIE - Fundo de Investimento Especialmente constituído </w:t>
      </w:r>
    </w:p>
    <w:p w14:paraId="6FE5BCAF" w14:textId="00DD3617" w:rsidR="000713FF" w:rsidRDefault="000713FF" w:rsidP="000713FF">
      <w:r>
        <w:t>Vamos falar bastante dos FIEs daqui em diante. Esse é o fundo constituído especificamente para que as EAPC possam acessar o mercado. Ou seja, o investidor escolhe o plano de Previdência Complementar e esse plano, por sua vez, vai alocar os recursos nesse fundo de acordo com a política de cada plano.</w:t>
      </w:r>
    </w:p>
    <w:p w14:paraId="01C8A630" w14:textId="0F838B7F" w:rsidR="000713FF" w:rsidRDefault="000713FF" w:rsidP="000713FF">
      <w:r>
        <w:t xml:space="preserve">Taxa de Carregamento </w:t>
      </w:r>
    </w:p>
    <w:p w14:paraId="484BAD54" w14:textId="734A96AE" w:rsidR="000713FF" w:rsidRDefault="000713FF" w:rsidP="000713FF">
      <w:r>
        <w:t>O plano de previdência, naturalmente, tem suas despesas. Essas despesas são repassadas ao investidor através de taxas. A primeira taxa que vamos abordar aqui é a taxa de carregamento.</w:t>
      </w:r>
    </w:p>
    <w:p w14:paraId="6FD39570" w14:textId="4E497642" w:rsidR="000713FF" w:rsidRDefault="000713FF" w:rsidP="000713FF">
      <w:r>
        <w:t xml:space="preserve">Ela corresponde às despesas administrativas das Instituições Financeiras com  pessoal, emissão de documentos e lucro. Pode ser cobrada do investidor na entrada, na saída ou na </w:t>
      </w:r>
      <w:r>
        <w:lastRenderedPageBreak/>
        <w:t>portabilidade, ou até mesmo na entrada e na saída de um mesmo investimento (ex.: 1% na entrada e 1% na saída)</w:t>
      </w:r>
    </w:p>
    <w:p w14:paraId="0E27DDB3" w14:textId="1737AF36" w:rsidR="000713FF" w:rsidRDefault="000713FF" w:rsidP="000713FF">
      <w:r>
        <w:t>É importante saber que a taxa de carregamento pode ser cobrada somente sobre o valor aplicado e nunca sobre o rendimento. Portanto, quando uma EAPC cobrar a taxa de carregamento na saída, o valor aplicado do rendimento deve estar bem claro para que a cobrança seja feita somente sobre o principal.</w:t>
      </w:r>
    </w:p>
    <w:p w14:paraId="4487BD07" w14:textId="15FFF3C6" w:rsidR="000713FF" w:rsidRDefault="000713FF" w:rsidP="000713FF">
      <w:r>
        <w:t>A regra para essa cobrança é que seja de no máximo de 10%, mas as EAPC podem cobrar qualquer percentual, desde que seja respeitado esse limite. Além dessa flexibilidade, a taxa de carregamento pode ser cobrada de forma flexível para “premiar” investidores com maior volume de recursos ou mais tempo de contribuição.</w:t>
      </w:r>
    </w:p>
    <w:p w14:paraId="06C49BA6" w14:textId="346EB419" w:rsidR="000713FF" w:rsidRDefault="000713FF" w:rsidP="000713FF">
      <w:r>
        <w:t xml:space="preserve">Taxa de Administração </w:t>
      </w:r>
    </w:p>
    <w:p w14:paraId="521C8086" w14:textId="1E7D0F66" w:rsidR="000713FF" w:rsidRDefault="000713FF" w:rsidP="000713FF">
      <w:r>
        <w:t xml:space="preserve"> Essa cobrança é semelhante ao que ocorre nos Fundos de Investimentos. Uma taxa fixa expressa em %, ao ano, com base em 252 dias úteis e cobrada sobre o valor total do patrimônio da EAPC. Um valor anual para que o administrador continue fazendo o seu bom trabalho.</w:t>
      </w:r>
    </w:p>
    <w:p w14:paraId="3EC47FA4" w14:textId="1DCB634C" w:rsidR="000713FF" w:rsidRDefault="000713FF" w:rsidP="000713FF">
      <w:r>
        <w:rPr>
          <w:noProof/>
        </w:rPr>
        <w:drawing>
          <wp:inline distT="0" distB="0" distL="0" distR="0" wp14:anchorId="6238D820" wp14:editId="27113727">
            <wp:extent cx="5400040" cy="2409825"/>
            <wp:effectExtent l="0" t="0" r="0" b="952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00040" cy="2409825"/>
                    </a:xfrm>
                    <a:prstGeom prst="rect">
                      <a:avLst/>
                    </a:prstGeom>
                    <a:noFill/>
                    <a:ln>
                      <a:noFill/>
                    </a:ln>
                  </pic:spPr>
                </pic:pic>
              </a:graphicData>
            </a:graphic>
          </wp:inline>
        </w:drawing>
      </w:r>
    </w:p>
    <w:p w14:paraId="1EAD2876" w14:textId="329BB23B" w:rsidR="000713FF" w:rsidRDefault="00B56FE6" w:rsidP="000713FF">
      <w:r w:rsidRPr="00B56FE6">
        <w:t>Taxa de Performance - Previdência Complementar</w:t>
      </w:r>
    </w:p>
    <w:p w14:paraId="68D056CC" w14:textId="7032FD3D" w:rsidR="00B56FE6" w:rsidRDefault="00B56FE6" w:rsidP="00B56FE6">
      <w:r>
        <w:t>Taxa de performance é o percentual cobrado do cotista quando a rentabilidade do fundo supera a de um indicador de referência, correto?</w:t>
      </w:r>
    </w:p>
    <w:p w14:paraId="369EDF41" w14:textId="5A7C5012" w:rsidR="00B56FE6" w:rsidRDefault="00B56FE6" w:rsidP="00B56FE6">
      <w:r>
        <w:t>ENTÃO, PODE TER TAXA DE PERFORMANCE NOS FUNDOS DE PREVIDÊNCIA TAMBÉM?</w:t>
      </w:r>
    </w:p>
    <w:p w14:paraId="57C48C5A" w14:textId="59280ACB" w:rsidR="00B56FE6" w:rsidRDefault="00B56FE6" w:rsidP="00B56FE6">
      <w:r>
        <w:t>A resposta é: Simmm</w:t>
      </w:r>
    </w:p>
    <w:p w14:paraId="55248371" w14:textId="6F29F1C9" w:rsidR="00B56FE6" w:rsidRDefault="00B56FE6" w:rsidP="00B56FE6">
      <w:r>
        <w:t xml:space="preserve">Ocorre o mesmo caso dos outros fundos de investimentos, ou seja, quando o gestor do fundo do plano da previdência tem um ótimo desempenho e supera o seu respectivo benchmark, que pode ser a taxa DI, Ibovespa, etc, é cobrada a taxa de performance! </w:t>
      </w:r>
    </w:p>
    <w:p w14:paraId="6C014046" w14:textId="372DAA20" w:rsidR="00B56FE6" w:rsidRDefault="00B56FE6" w:rsidP="00B56FE6">
      <w:r>
        <w:t>Exemplo de fundo previdenciário com taxa de performance:</w:t>
      </w:r>
    </w:p>
    <w:p w14:paraId="1A11544F" w14:textId="744B164E" w:rsidR="00B56FE6" w:rsidRDefault="009654A0" w:rsidP="00B56FE6">
      <w:hyperlink r:id="rId8" w:history="1">
        <w:r w:rsidR="00B56FE6" w:rsidRPr="00865242">
          <w:rPr>
            <w:rStyle w:val="Hyperlink"/>
          </w:rPr>
          <w:t>https://constellation.com.br/wp-content/uploads/2019/08/CONSTELLATION-ICATU-70-%20PREV-FIM.pdf</w:t>
        </w:r>
      </w:hyperlink>
    </w:p>
    <w:p w14:paraId="6CAD258F" w14:textId="403C9000" w:rsidR="00B56FE6" w:rsidRDefault="00B56FE6" w:rsidP="00B56FE6">
      <w:r>
        <w:rPr>
          <w:noProof/>
        </w:rPr>
        <w:lastRenderedPageBreak/>
        <w:drawing>
          <wp:inline distT="0" distB="0" distL="0" distR="0" wp14:anchorId="2F702D94" wp14:editId="297542B5">
            <wp:extent cx="5400040" cy="2133600"/>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40" cy="2133600"/>
                    </a:xfrm>
                    <a:prstGeom prst="rect">
                      <a:avLst/>
                    </a:prstGeom>
                    <a:noFill/>
                    <a:ln>
                      <a:noFill/>
                    </a:ln>
                  </pic:spPr>
                </pic:pic>
              </a:graphicData>
            </a:graphic>
          </wp:inline>
        </w:drawing>
      </w:r>
    </w:p>
    <w:p w14:paraId="6E6D27E3" w14:textId="5555F880" w:rsidR="00B56FE6" w:rsidRDefault="00B56FE6" w:rsidP="00B56FE6"/>
    <w:p w14:paraId="5E2B335F" w14:textId="7451212E" w:rsidR="00B56FE6" w:rsidRDefault="00B56FE6" w:rsidP="00B56FE6">
      <w:r w:rsidRPr="00B56FE6">
        <w:t>Tábua Biométrica - Previdência Complementar</w:t>
      </w:r>
    </w:p>
    <w:p w14:paraId="5228EDCD" w14:textId="00A14F7C" w:rsidR="00B56FE6" w:rsidRDefault="00B56FE6" w:rsidP="00B56FE6">
      <w:r>
        <w:t>O QUE É TÁBUA BIOMÉTRICA:</w:t>
      </w:r>
    </w:p>
    <w:p w14:paraId="7CEAB6C9" w14:textId="25A9DD73" w:rsidR="00B56FE6" w:rsidRDefault="00B56FE6" w:rsidP="00B56FE6">
      <w:r>
        <w:t>Também chamada de tábua atuarial, a tábua biométrica é uma metodologia para calcular a estimativa de vida dos indivíduos e, neste caso, dos investidores.</w:t>
      </w:r>
    </w:p>
    <w:p w14:paraId="042C260C" w14:textId="5BC1A0C5" w:rsidR="00B56FE6" w:rsidRDefault="00B56FE6" w:rsidP="00B56FE6">
      <w:r>
        <w:t>Como resumo a gente chega a conclusão de que a tábua biométrica é a maneira como as seguradoras calculam a estimativa de sobrevida do investidor para que a seguradora, dívida o saldo acumulado pela quantidade de meses de sobrevida.</w:t>
      </w:r>
    </w:p>
    <w:p w14:paraId="50646C82" w14:textId="7D771084" w:rsidR="00B56FE6" w:rsidRDefault="00B56FE6" w:rsidP="00B56FE6">
      <w:r>
        <w:t>Com um exemplo bem simples: Imagine o investidor acumulou R$ 1.000.000,00 ao longo da vida e, na hora de converter em renda vitalícia, a tábua biométrica estima que este investidor viverá mais 20 anos. Assim, neste caso, o investidor vai receber o equivalente a R$ 50.000,00 por ano ou R$ 4.166,67 por mês. Uma observação importante para essa informação é que o saldo a receber é corrigido anualmente por um índice de inflação.</w:t>
      </w:r>
    </w:p>
    <w:p w14:paraId="17B679B9" w14:textId="1E7B5BA2" w:rsidR="00B56FE6" w:rsidRDefault="00B56FE6" w:rsidP="00B56FE6">
      <w:r>
        <w:t>Já que entendemos o conceito, vamos entender qual a tábua atuarial no Brasil e a tábua atuarial das segurados.</w:t>
      </w:r>
    </w:p>
    <w:p w14:paraId="176F519E" w14:textId="67ED87B0" w:rsidR="00B56FE6" w:rsidRDefault="00B56FE6" w:rsidP="00B56FE6">
      <w:r>
        <w:t>O IBGE, que é o instituto oficial de estatística do Brasil, desenvolveu uma tábua atuarial para que possamos ter uma estimativa de vida dos Brasileiros. Essa tábua é utilizada para cálculo da previdência do INSS.</w:t>
      </w:r>
    </w:p>
    <w:p w14:paraId="62EFAF80" w14:textId="2E41997B" w:rsidR="00B56FE6" w:rsidRDefault="00B56FE6" w:rsidP="00B56FE6">
      <w:r>
        <w:t>Agora, faz sentido para você, que o estilo de vida de um trabalhador rural, por exemplo, é bem diferente do estilo de vida de um executivo de uma multinacional? Exatamente por isso, que a tábua que utilizamos aqui é uma metodologia que mede a expectativa de vida de um pessoa que tem perfil para ser investidor em plano de previdência. Estou falando da Tabela BR-EMS.</w:t>
      </w:r>
    </w:p>
    <w:p w14:paraId="6D94A4A4" w14:textId="0DA75827" w:rsidR="00B56FE6" w:rsidRDefault="00B56FE6" w:rsidP="00B56FE6">
      <w:r>
        <w:t>Essa tabela é revista a cada 5 anos. Ela foi revista em 2015, e agora será atualizada somente em 2020. Desse jeito, as empresas conseguem oferecer produtos mais condizentes com a realidade brasileira.</w:t>
      </w:r>
    </w:p>
    <w:p w14:paraId="2CDC674E" w14:textId="6DDE8BD5" w:rsidR="00B56FE6" w:rsidRDefault="00B56FE6" w:rsidP="00B56FE6">
      <w:r>
        <w:t>É bom lembrar que, a partir do momento que você começa um plano de renda vitalícia, não é possível atualizar a tabela. Desde o começo, o seu benefício será calculado com a tabela vigente do ano de abertura do plano.</w:t>
      </w:r>
    </w:p>
    <w:p w14:paraId="21B4EF05" w14:textId="77777777" w:rsidR="00B56FE6" w:rsidRDefault="00B56FE6" w:rsidP="00B56FE6"/>
    <w:p w14:paraId="611E9631" w14:textId="4772FF32" w:rsidR="00B56FE6" w:rsidRDefault="00B56FE6" w:rsidP="00B56FE6">
      <w:r>
        <w:lastRenderedPageBreak/>
        <w:t>Recapitulando:</w:t>
      </w:r>
    </w:p>
    <w:p w14:paraId="6D74BA94" w14:textId="77777777" w:rsidR="00B56FE6" w:rsidRDefault="00B56FE6" w:rsidP="00B56FE6">
      <w:r>
        <w:t>quanto maior a expectativa de vida: menor o valor a receber</w:t>
      </w:r>
    </w:p>
    <w:p w14:paraId="6772E79B" w14:textId="35424731" w:rsidR="00B56FE6" w:rsidRDefault="00B56FE6" w:rsidP="00B56FE6">
      <w:r>
        <w:t>quanto maior saldo acumulado: maior será o valor a receber.</w:t>
      </w:r>
    </w:p>
    <w:p w14:paraId="4AB1FB5E" w14:textId="15C5D102" w:rsidR="00B56FE6" w:rsidRDefault="00B56FE6" w:rsidP="00B56FE6">
      <w:r>
        <w:rPr>
          <w:noProof/>
        </w:rPr>
        <w:drawing>
          <wp:inline distT="0" distB="0" distL="0" distR="0" wp14:anchorId="3A34D8C6" wp14:editId="234C90E3">
            <wp:extent cx="5391150" cy="238125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1150" cy="2381250"/>
                    </a:xfrm>
                    <a:prstGeom prst="rect">
                      <a:avLst/>
                    </a:prstGeom>
                    <a:noFill/>
                    <a:ln>
                      <a:noFill/>
                    </a:ln>
                  </pic:spPr>
                </pic:pic>
              </a:graphicData>
            </a:graphic>
          </wp:inline>
        </w:drawing>
      </w:r>
    </w:p>
    <w:p w14:paraId="60EFFEF6" w14:textId="41125C5C" w:rsidR="007700FD" w:rsidRDefault="007700FD" w:rsidP="00B56FE6">
      <w:r w:rsidRPr="007700FD">
        <w:t>Benefícios da Previdência Privada</w:t>
      </w:r>
    </w:p>
    <w:p w14:paraId="73A93A2A" w14:textId="3E708D90" w:rsidR="007700FD" w:rsidRDefault="007700FD" w:rsidP="007700FD">
      <w:r>
        <w:t>TIPOS DE BENEFÍCIOS:</w:t>
      </w:r>
    </w:p>
    <w:p w14:paraId="3F35B6DD" w14:textId="7EF3A0DB" w:rsidR="007700FD" w:rsidRDefault="007700FD" w:rsidP="007700FD">
      <w:r>
        <w:t>Os recursos vertidos ao plano por meio do pagamento de contribuições, depois de descontado, quando for o caso, o carregamento, ou portabilidades, serão apropriados à provisão matemática de benefícios a conceder e aplicados pela sociedade seguradora ou entidade aberta de previdência complementar em quotas de FIE(s) vinculado(s) ao plano, de acordo com os percentuais previamente estabelecidos pelo participante na proposta de inscrição e, até o segundo dia útil subsequente ao da efetiva disponibilidade dos recursos, tendo como base os valores das quotas em vigor na data da aplicação</w:t>
      </w:r>
    </w:p>
    <w:p w14:paraId="5E8C2D67" w14:textId="636EDFB4" w:rsidR="007700FD" w:rsidRDefault="007700FD" w:rsidP="007700FD">
      <w:r>
        <w:t>No caso de planos coletivos, os recursos das contribuições pagas pelo instituidor serão aplicados pela sociedade seguradora ou entidade aberta de previdência complementar em FIE(s) vinculado(s) ao plano, de acordo com os percentuais previamente estabelecidos, pelo instituidor, na proposta de inscrição.</w:t>
      </w:r>
    </w:p>
    <w:p w14:paraId="73A3CDD6" w14:textId="2F88D6D5" w:rsidR="007700FD" w:rsidRDefault="007700FD" w:rsidP="007700FD">
      <w:r>
        <w:t>Os percentuais mencionados acima poderão ser alterados por solicitação expressa do participante e, no caso de planos coletivos, pelo instituidor, no que se refere aos recursos por ele aportados para o plano.</w:t>
      </w:r>
    </w:p>
    <w:p w14:paraId="551459CD" w14:textId="2FA66612" w:rsidR="007700FD" w:rsidRDefault="007700FD" w:rsidP="007700FD">
      <w:r>
        <w:t>O objetivo dos planos é a concessão de um benefício, sob a forma de renda ou pagamento único. A proposta de inscrição indicará a data escolhida pelo participante para a concessão do benefício. O valor do benefício será calculado em função da provisão matemática de benefícios a conceder na data de início de pagamento e do tipo de cobertura contratada, de acordo com os fatores de renda apresentados na proposta de inscrição.</w:t>
      </w:r>
    </w:p>
    <w:p w14:paraId="2E55968F" w14:textId="1DA69F53" w:rsidR="007700FD" w:rsidRDefault="007700FD" w:rsidP="007700FD">
      <w:r>
        <w:t xml:space="preserve">Para que seja efetivado o pagamento do benefício, o participante deverá se habilitar, mediante resposta à comunicação enviada pela sociedade seguradora ou entidade aberta de previdência complementar, informando, no mínimo, seus dados cadastrais atualizados, se deseja manter ou postergar o prazo de fim de diferimento, manter ou alterar a renda </w:t>
      </w:r>
      <w:r>
        <w:lastRenderedPageBreak/>
        <w:t>previamente contratada, resgatar ou portar os recursos para outro plano ou exercer a opção de receber os pagamentos financeiros programados, quando for o caso.</w:t>
      </w:r>
    </w:p>
    <w:p w14:paraId="06C67752" w14:textId="1C3B0461" w:rsidR="007700FD" w:rsidRDefault="007700FD" w:rsidP="007700FD">
      <w:r>
        <w:t>O participante contratará, por meio da proposta de inscrição, uma das seguintes coberturas, conforme disposto no regulamento do plano, dentre outras que possam ser oferecidas:</w:t>
      </w:r>
    </w:p>
    <w:p w14:paraId="4778F09E" w14:textId="1F23ACD2" w:rsidR="007700FD" w:rsidRDefault="007700FD" w:rsidP="007700FD">
      <w:r>
        <w:rPr>
          <w:rFonts w:ascii="Segoe UI Symbol" w:hAnsi="Segoe UI Symbol" w:cs="Segoe UI Symbol"/>
        </w:rPr>
        <w:t>⯀</w:t>
      </w:r>
      <w:r>
        <w:t xml:space="preserve"> Pagamento Único: No primeiro dia útil seguinte à data prevista para o término do período de diferimento, será concedido ao participante benefício sob a forma de pagamento único, calculado com base no saldo de provisão matemática de benefícios a conceder verificado ao término daquele período.</w:t>
      </w:r>
    </w:p>
    <w:p w14:paraId="5D35920D" w14:textId="36A9B4E1" w:rsidR="007700FD" w:rsidRDefault="007700FD" w:rsidP="007700FD">
      <w:r>
        <w:rPr>
          <w:rFonts w:ascii="Segoe UI Symbol" w:hAnsi="Segoe UI Symbol" w:cs="Segoe UI Symbol"/>
        </w:rPr>
        <w:t>⯀</w:t>
      </w:r>
      <w:r>
        <w:t xml:space="preserve"> Renda Mensal Vitalícia: consiste em uma renda paga vitalícia e exclusivamente ao participante a partir da data de concessão do benefício. O benefício cessa com o falecimento do participante. </w:t>
      </w:r>
    </w:p>
    <w:p w14:paraId="4E11080D" w14:textId="278CE53F" w:rsidR="007700FD" w:rsidRDefault="007700FD" w:rsidP="007700FD">
      <w:r>
        <w:rPr>
          <w:rFonts w:ascii="Segoe UI Symbol" w:hAnsi="Segoe UI Symbol" w:cs="Segoe UI Symbol"/>
        </w:rPr>
        <w:t>⯀</w:t>
      </w:r>
      <w:r>
        <w:t xml:space="preserve"> Renda Mensal Temporária: consiste em uma renda paga temporária e exclusivamente ao participante. O benefício cessa com o falecimento do participante ou o fim da temporariedade contratada, o que ocorrer primeiro. </w:t>
      </w:r>
    </w:p>
    <w:p w14:paraId="76DB57F3" w14:textId="63435CA1" w:rsidR="007700FD" w:rsidRDefault="007700FD" w:rsidP="007700FD">
      <w:r>
        <w:rPr>
          <w:rFonts w:ascii="Segoe UI Symbol" w:hAnsi="Segoe UI Symbol" w:cs="Segoe UI Symbol"/>
        </w:rPr>
        <w:t>⯀</w:t>
      </w:r>
      <w:r>
        <w:t xml:space="preserve"> Renda Mensal Vitalícia com Prazo Mínimo Garantido: consiste em uma renda paga vitaliciamente ao participante a partir da data da concessão do benefício, sendo garantida aos beneficiários da seguinte forma:</w:t>
      </w:r>
    </w:p>
    <w:p w14:paraId="79EB2C54" w14:textId="2A4575EA" w:rsidR="007700FD" w:rsidRDefault="007700FD" w:rsidP="007700FD">
      <w:r>
        <w:t>No momento da inscrição, o participante escolherá um prazo mínimo de garantia que será indicado na proposta de inscrição.</w:t>
      </w:r>
    </w:p>
    <w:p w14:paraId="6A0DAEDE" w14:textId="45C95B4A" w:rsidR="007700FD" w:rsidRDefault="007700FD" w:rsidP="007700FD">
      <w:r>
        <w:t>O prazo mínimo da garantia é contado a partir da data do início do recebimento do benefício pelo participante.</w:t>
      </w:r>
    </w:p>
    <w:p w14:paraId="041AAA7E" w14:textId="58BFF215" w:rsidR="007700FD" w:rsidRDefault="007700FD" w:rsidP="007700FD">
      <w:r>
        <w:t>Se durante o período de percepção do benefício ocorrer o falecimento do participante, antes de ter completado o prazo mínimo de garantia escolhido, o benefício será pago aos beneficiários conforme os percentuais indicados na proposta de inscrição, pelo período restante do prazo mínimo de garantia</w:t>
      </w:r>
    </w:p>
    <w:p w14:paraId="614D8462" w14:textId="56B7056A" w:rsidR="007700FD" w:rsidRDefault="007700FD" w:rsidP="007700FD">
      <w:r>
        <w:t>Em falecimento do participante, após o prazo mínimo garantido escolhido, o benefício ficará automaticamente cancelado sem que seja devida qualquer devolução, indenização ou compensação de qualquer espécie ou natureza aos beneficiários.</w:t>
      </w:r>
    </w:p>
    <w:p w14:paraId="267D4CF5" w14:textId="4657A207" w:rsidR="007700FD" w:rsidRDefault="007700FD" w:rsidP="007700FD">
      <w:r>
        <w:t>No caso de um dos beneficiários falecer antes de ter sido completado o prazo mínimo de garantia, o valor da renda será rateado entre os beneficiários remanescentes até o vencimento do prazo mínimo garantido.</w:t>
      </w:r>
    </w:p>
    <w:p w14:paraId="432E019C" w14:textId="2AEFBD50" w:rsidR="007700FD" w:rsidRDefault="007700FD" w:rsidP="007700FD">
      <w:r>
        <w:t>Não havendo qualquer beneficiário remanescente, a renda será paga aos sucessores legítimos do participante, pelo prazo restante da garantia.</w:t>
      </w:r>
    </w:p>
    <w:p w14:paraId="4BB8DA29" w14:textId="4A3E6693" w:rsidR="007700FD" w:rsidRDefault="007700FD" w:rsidP="007700FD">
      <w:r>
        <w:rPr>
          <w:rFonts w:ascii="Segoe UI Symbol" w:hAnsi="Segoe UI Symbol" w:cs="Segoe UI Symbol"/>
        </w:rPr>
        <w:t>⯀</w:t>
      </w:r>
      <w:r>
        <w:t xml:space="preserve"> Renda Mensal Vitalícia Reversível ao Beneficiário Indicado: consiste em uma renda paga vitaliciamente ao participante a partir da data de concessão do benefício escolhida.</w:t>
      </w:r>
    </w:p>
    <w:p w14:paraId="0D962BCB" w14:textId="77777777" w:rsidR="007700FD" w:rsidRDefault="007700FD" w:rsidP="007700FD">
      <w:r>
        <w:t>Ocorrendo o falecimento do participante, durante a percepção desta renda, o percentual do seu valor estabelecido na proposta de inscrição será revertido vitaliciamente ao beneficiário indicado.</w:t>
      </w:r>
    </w:p>
    <w:p w14:paraId="551AB681" w14:textId="77777777" w:rsidR="007700FD" w:rsidRDefault="007700FD" w:rsidP="007700FD"/>
    <w:p w14:paraId="117661E5" w14:textId="56F1FE4D" w:rsidR="007700FD" w:rsidRDefault="007700FD" w:rsidP="007700FD">
      <w:r>
        <w:lastRenderedPageBreak/>
        <w:t>Na hipótese de falecimento do beneficiário, antes do participante e durante o período de percepção da renda, a reversibilidade do benefício estará extinta sem direito a compensações ou devoluções dos valores pagos.</w:t>
      </w:r>
    </w:p>
    <w:p w14:paraId="6EA1A2F7" w14:textId="1CB5B534" w:rsidR="007700FD" w:rsidRDefault="007700FD" w:rsidP="007700FD">
      <w:r>
        <w:t>No caso do beneficiário falecer, após já ter iniciado o recebimento da renda, o benefício estará extinto</w:t>
      </w:r>
    </w:p>
    <w:p w14:paraId="76DA3C61" w14:textId="01F54E95" w:rsidR="007700FD" w:rsidRDefault="007700FD" w:rsidP="007700FD">
      <w:r>
        <w:rPr>
          <w:rFonts w:ascii="Segoe UI Symbol" w:hAnsi="Segoe UI Symbol" w:cs="Segoe UI Symbol"/>
        </w:rPr>
        <w:t>⯀</w:t>
      </w:r>
      <w:r>
        <w:t xml:space="preserve"> Renda Mensal Vitalícia Reversível ao Cônjuge com Continuidade aos Menores: consiste em uma renda paga vitaliciamente ao participante a partir da data de concessão do benefício escolhida.</w:t>
      </w:r>
    </w:p>
    <w:p w14:paraId="3EDFF8CD" w14:textId="3AD45091" w:rsidR="007700FD" w:rsidRDefault="007700FD" w:rsidP="007700FD">
      <w:r>
        <w:t>Ocorrendo o falecimento do participante, durante a percepção desta renda, o percentual do seu valor estabelecido na proposta de inscrição será revertido vitaliciamente ao cônjuge e na falta deste, reversível temporariamente ao(s) menor(es) até que complete(m) a idade para maioridade (18, 21 ou 24) estabelecida no regulamento e conforme o percentual de reversão estabelecido</w:t>
      </w:r>
    </w:p>
    <w:p w14:paraId="2F1ACCCD" w14:textId="7E23AB7B" w:rsidR="007700FD" w:rsidRDefault="007700FD" w:rsidP="007700FD">
      <w:r>
        <w:rPr>
          <w:rFonts w:ascii="Segoe UI Symbol" w:hAnsi="Segoe UI Symbol" w:cs="Segoe UI Symbol"/>
        </w:rPr>
        <w:t>⯀</w:t>
      </w:r>
      <w:r>
        <w:t xml:space="preserve"> Renda Mensal por Prazo Certo: consiste em uma renda mensal a ser paga por um prazo pré-estabelecido ao participante/assistido.</w:t>
      </w:r>
    </w:p>
    <w:p w14:paraId="66371329" w14:textId="3976989A" w:rsidR="007700FD" w:rsidRDefault="007700FD" w:rsidP="007700FD">
      <w:r>
        <w:t>Na proposta de inscrição, o participante indicará o prazo máximo, em meses, contado a partir da data de concessão do benefício, em que será efetuado o pagamento da renda</w:t>
      </w:r>
    </w:p>
    <w:p w14:paraId="5D35AA5E" w14:textId="15C91CCC" w:rsidR="007700FD" w:rsidRDefault="007700FD" w:rsidP="007700FD">
      <w:r>
        <w:t>Se, durante o período de pagamento do benefício, ocorrer o falecimento do participante/ assistido antes da conclusão do prazo indicado, o benefício será pago ao beneficiário (ou beneficiários), na proporção de rateio estabelecida, pelo período restante do prazo determinado.</w:t>
      </w:r>
    </w:p>
    <w:p w14:paraId="1A7B41A8" w14:textId="5F627135" w:rsidR="007700FD" w:rsidRDefault="007700FD" w:rsidP="007700FD">
      <w:r>
        <w:rPr>
          <w:rFonts w:ascii="Segoe UI Symbol" w:hAnsi="Segoe UI Symbol" w:cs="Segoe UI Symbol"/>
        </w:rPr>
        <w:t>⯀</w:t>
      </w:r>
      <w:r>
        <w:t xml:space="preserve"> O pagamento da renda cessará com o término do prazo estabelecido. </w:t>
      </w:r>
    </w:p>
    <w:p w14:paraId="63AB8A71" w14:textId="5E9DF9CF" w:rsidR="007700FD" w:rsidRDefault="007700FD" w:rsidP="007700FD">
      <w:r>
        <w:t>Na hipótese de um dos beneficiários falecer, a parte a ele destinada será paga aos sucessores legítimos, observada a legislação vigente.</w:t>
      </w:r>
    </w:p>
    <w:p w14:paraId="42668345" w14:textId="6D856831" w:rsidR="007700FD" w:rsidRDefault="007700FD" w:rsidP="007700FD">
      <w:r>
        <w:t>Na falta de beneficiário nomeado, a renda será paga aos sucessores legítimos do participante-assistido, observada a legislação vigente.</w:t>
      </w:r>
    </w:p>
    <w:p w14:paraId="70B96EEB" w14:textId="31FB1284" w:rsidR="007700FD" w:rsidRDefault="007700FD" w:rsidP="007700FD">
      <w:r>
        <w:t>Não havendo beneficiário nomeado ou, ainda, em caso de falecimento de beneficiário, a renda será provisionada mensalmente, durante o decorrer do restante do prazo determinado, sendo o saldo corrigido pelo índice de atualização de valores previsto no regulamento do plano contratado, até que identificados os sucessores legítimos a quem deverão ser pagos o saldo provisionado e, se for o caso, os remanescentes pagamentos mensais.</w:t>
      </w:r>
    </w:p>
    <w:p w14:paraId="1B484D0D" w14:textId="08022F64" w:rsidR="007700FD" w:rsidRDefault="007700FD" w:rsidP="007700FD">
      <w:r>
        <w:t>O investidor pode, ainda, contratar um pecúlio para seu plano. O pecúlio trará alguns benefícios para o investidor ou beneficiários. Entenda os casos:</w:t>
      </w:r>
    </w:p>
    <w:p w14:paraId="5E9C372F" w14:textId="56E0D636" w:rsidR="007700FD" w:rsidRDefault="007700FD" w:rsidP="007700FD">
      <w:r>
        <w:rPr>
          <w:rFonts w:ascii="Segoe UI Symbol" w:hAnsi="Segoe UI Symbol" w:cs="Segoe UI Symbol"/>
        </w:rPr>
        <w:t>⯀</w:t>
      </w:r>
      <w:r>
        <w:t xml:space="preserve"> Renda por invalidez: renda a ser paga ao participante, em decorrência de sua invalidez total e permanente ocorrida durante o período de cobertura e depois de cumprido o período de carência estabelecido no plano.</w:t>
      </w:r>
    </w:p>
    <w:p w14:paraId="29FDFC2A" w14:textId="77777777" w:rsidR="007700FD" w:rsidRDefault="007700FD" w:rsidP="007700FD">
      <w:r>
        <w:t xml:space="preserve"> </w:t>
      </w:r>
      <w:r>
        <w:rPr>
          <w:rFonts w:ascii="Segoe UI Symbol" w:hAnsi="Segoe UI Symbol" w:cs="Segoe UI Symbol"/>
        </w:rPr>
        <w:t>⯀</w:t>
      </w:r>
      <w:r>
        <w:t xml:space="preserve"> Pensão por morte: renda a ser paga ao(s) beneficiário(s) indicado(s) na proposta de inscrição, em decorrência da morte do Participante ocorrida durante o período de cobertura e depois de cumprido o período de carência estabelecido no plano. </w:t>
      </w:r>
    </w:p>
    <w:p w14:paraId="0FBF94ED" w14:textId="77777777" w:rsidR="007700FD" w:rsidRDefault="007700FD" w:rsidP="007700FD"/>
    <w:p w14:paraId="6051879D" w14:textId="50433C63" w:rsidR="007700FD" w:rsidRDefault="007700FD" w:rsidP="007700FD">
      <w:r>
        <w:rPr>
          <w:rFonts w:ascii="Segoe UI Symbol" w:hAnsi="Segoe UI Symbol" w:cs="Segoe UI Symbol"/>
        </w:rPr>
        <w:lastRenderedPageBreak/>
        <w:t>⯀</w:t>
      </w:r>
      <w:r>
        <w:t xml:space="preserve"> Pecúlio por morte: importância em dinheiro, pagável de uma só vez ao(s) beneficiário(s) indicado(s) na proposta de inscrição, em decorrência da morte do participante ocorrida durante o período de cobertura e depois de cumprido o período de carência estabelecido no plano. </w:t>
      </w:r>
    </w:p>
    <w:p w14:paraId="786E1148" w14:textId="0A86A904" w:rsidR="007700FD" w:rsidRDefault="007700FD" w:rsidP="007700FD">
      <w:r>
        <w:rPr>
          <w:rFonts w:ascii="Segoe UI Symbol" w:hAnsi="Segoe UI Symbol" w:cs="Segoe UI Symbol"/>
        </w:rPr>
        <w:t>⯀</w:t>
      </w:r>
      <w:r>
        <w:t xml:space="preserve"> Pecúlio por invalidez: importância em dinheiro, pagável de uma só vez ao próprio participante, em decorrência de sua invalidez total e permanente ocorrida durante o período de cobertura e após cumprido o período de carência estabelecido no plano.</w:t>
      </w:r>
    </w:p>
    <w:p w14:paraId="6B0EB84C" w14:textId="5E3EA676" w:rsidR="007700FD" w:rsidRDefault="007700FD" w:rsidP="007700FD">
      <w:r>
        <w:rPr>
          <w:noProof/>
        </w:rPr>
        <w:drawing>
          <wp:inline distT="0" distB="0" distL="0" distR="0" wp14:anchorId="17DFCB16" wp14:editId="5529EB6B">
            <wp:extent cx="5400040" cy="3009265"/>
            <wp:effectExtent l="0" t="0" r="0" b="63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40" cy="3009265"/>
                    </a:xfrm>
                    <a:prstGeom prst="rect">
                      <a:avLst/>
                    </a:prstGeom>
                    <a:noFill/>
                    <a:ln>
                      <a:noFill/>
                    </a:ln>
                  </pic:spPr>
                </pic:pic>
              </a:graphicData>
            </a:graphic>
          </wp:inline>
        </w:drawing>
      </w:r>
    </w:p>
    <w:p w14:paraId="2484EA31" w14:textId="33D86D91" w:rsidR="005A6080" w:rsidRDefault="00381D8B" w:rsidP="007700FD">
      <w:r w:rsidRPr="00381D8B">
        <w:t>Características do Diferimento - Previdência Complementar</w:t>
      </w:r>
    </w:p>
    <w:p w14:paraId="03CE470F" w14:textId="57360373" w:rsidR="00381D8B" w:rsidRDefault="00381D8B" w:rsidP="00381D8B">
      <w:r>
        <w:t xml:space="preserve">O QUE É DIFERIMENTO? </w:t>
      </w:r>
    </w:p>
    <w:p w14:paraId="6A12E5F0" w14:textId="4E2F420C" w:rsidR="00381D8B" w:rsidRDefault="00381D8B" w:rsidP="00381D8B">
      <w:r>
        <w:t>Diferimento é a fase de acumulação dos recursos, ou seja, a data entre a contratação do plano e a data de início do recebimento do valor.  Durante esse período podemos fazer portabilidades, resgate, migração, mudar beneficiário etc.</w:t>
      </w:r>
    </w:p>
    <w:p w14:paraId="53CD4029" w14:textId="06059616" w:rsidR="00381D8B" w:rsidRDefault="00381D8B" w:rsidP="00381D8B">
      <w:r>
        <w:t>Ainda há o diferimento fiscal, como é o caso do plano PGBL, onde ocorre a dedução de até 12% do IR, ou seja, você paga esse imposto só lá no futuro, ok? Mas calma, vamos ver isso nas próximas aulas!</w:t>
      </w:r>
    </w:p>
    <w:p w14:paraId="10F026ED" w14:textId="1F5B87A9" w:rsidR="00381D8B" w:rsidRDefault="00381D8B" w:rsidP="00381D8B">
      <w:r>
        <w:t>Assim, podemos concluir que: quanto maior for o saldo do investidor, maior será o valores que ele vai receber ao longo do tempo, certo?</w:t>
      </w:r>
    </w:p>
    <w:p w14:paraId="157024AE" w14:textId="24D8AED4" w:rsidR="00381D8B" w:rsidRDefault="00381D8B" w:rsidP="00381D8B">
      <w:r>
        <w:rPr>
          <w:noProof/>
        </w:rPr>
        <w:lastRenderedPageBreak/>
        <w:drawing>
          <wp:inline distT="0" distB="0" distL="0" distR="0" wp14:anchorId="2EC13A4F" wp14:editId="51076C75">
            <wp:extent cx="5400040" cy="2409825"/>
            <wp:effectExtent l="0" t="0" r="0" b="952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040" cy="2409825"/>
                    </a:xfrm>
                    <a:prstGeom prst="rect">
                      <a:avLst/>
                    </a:prstGeom>
                    <a:noFill/>
                    <a:ln>
                      <a:noFill/>
                    </a:ln>
                  </pic:spPr>
                </pic:pic>
              </a:graphicData>
            </a:graphic>
          </wp:inline>
        </w:drawing>
      </w:r>
    </w:p>
    <w:p w14:paraId="023722F3" w14:textId="3EC3742C" w:rsidR="00F16B9F" w:rsidRDefault="00B02B09" w:rsidP="00F16B9F">
      <w:r w:rsidRPr="00B02B09">
        <w:t>Declaração Anual de Ajuste - Previdência Complementar</w:t>
      </w:r>
    </w:p>
    <w:p w14:paraId="3F14FAAA" w14:textId="05AD680E" w:rsidR="00B02B09" w:rsidRDefault="00B02B09" w:rsidP="00B02B09">
      <w:r>
        <w:t>O QUE É DECLARAÇÃO ANUAL DE AJUSTE?</w:t>
      </w:r>
    </w:p>
    <w:p w14:paraId="31BFB804" w14:textId="687D8247" w:rsidR="00B02B09" w:rsidRDefault="00B02B09" w:rsidP="00B02B09">
      <w:r>
        <w:t>A DIRPF ou Declaração de Ajuste Anual do Imposto de Renda de Pessoa Física, é uma obrigação que deve ser entregue anualmente por cada contribuinte do imposto, segundo as normas pré-estabelecidas pela Receita Federal.</w:t>
      </w:r>
    </w:p>
    <w:p w14:paraId="4D2AB36C" w14:textId="31FBC98B" w:rsidR="00B02B09" w:rsidRDefault="00B02B09" w:rsidP="00B02B09">
      <w:r>
        <w:t>MODELOS DE DECLARAÇÃO:</w:t>
      </w:r>
    </w:p>
    <w:p w14:paraId="7A321577" w14:textId="77777777" w:rsidR="00B02B09" w:rsidRDefault="00B02B09" w:rsidP="00B02B09">
      <w:r>
        <w:t>Simples: não permite deduções, e não é necessário comprovar despesas.</w:t>
      </w:r>
    </w:p>
    <w:p w14:paraId="6E6E7143" w14:textId="77777777" w:rsidR="00B02B09" w:rsidRDefault="00B02B09" w:rsidP="00B02B09">
      <w:r>
        <w:t>Completo: permite deduções, e é mais vantajoso para pessoas com alta renda, inclusive porque no caso da previdência complementar do plano PGBL, pode haver dedução de até 12%.</w:t>
      </w:r>
    </w:p>
    <w:p w14:paraId="66DBB262" w14:textId="236F949E" w:rsidR="00B02B09" w:rsidRDefault="00B02B09" w:rsidP="00B02B09">
      <w:r>
        <w:t>COMO OCORRE DENTROS DO PLANO DE PREVIDÊNCIA?</w:t>
      </w:r>
    </w:p>
    <w:p w14:paraId="1557596F" w14:textId="77777777" w:rsidR="00B02B09" w:rsidRDefault="00B02B09" w:rsidP="00B02B09">
      <w:r>
        <w:t>PGBL - Plano Gerador de Benefício Livre:</w:t>
      </w:r>
    </w:p>
    <w:p w14:paraId="74091429" w14:textId="0AA530F1" w:rsidR="00B02B09" w:rsidRDefault="00B02B09" w:rsidP="00B02B09">
      <w:r>
        <w:t>Para declarar, é necessário informar a Previdência Complementar (Cód. 36), para quem a despesa é realizada, dados da entidade de previdência complementar e qual foi o valor pago.</w:t>
      </w:r>
    </w:p>
    <w:p w14:paraId="1B575B9D" w14:textId="77777777" w:rsidR="00B02B09" w:rsidRDefault="00B02B09" w:rsidP="00B02B09">
      <w:r>
        <w:t xml:space="preserve">VGBL - Vida Gerador de Benefício Livre: </w:t>
      </w:r>
    </w:p>
    <w:p w14:paraId="3334F20E" w14:textId="7E534239" w:rsidR="00B02B09" w:rsidRDefault="00B02B09" w:rsidP="00B02B09">
      <w:r>
        <w:t>Não tem benefício fiscal. Para declarar, é necessário informar a VGBL (Cód. 97), para quem o direito é realizado, a localização e a situação do saldo anual entre a data do ano anterior e o último ano-base.</w:t>
      </w:r>
    </w:p>
    <w:p w14:paraId="6B4C8616" w14:textId="5B207925" w:rsidR="00B02B09" w:rsidRDefault="00B02B09" w:rsidP="00B02B09">
      <w:r>
        <w:t>Recapitulando então: O benefício fiscal de dedução de 12% é vantajoso para quem possui o plano de previdência complementar PGBL, mas é necessário que o beneficiário realize a declaração de IR completa. Mas relaxa, já vamos ver isso mais a fundo!</w:t>
      </w:r>
    </w:p>
    <w:p w14:paraId="07D464C6" w14:textId="0D15B007" w:rsidR="00B02B09" w:rsidRDefault="00B02B09" w:rsidP="00B02B09">
      <w:r>
        <w:rPr>
          <w:noProof/>
        </w:rPr>
        <w:lastRenderedPageBreak/>
        <w:drawing>
          <wp:inline distT="0" distB="0" distL="0" distR="0" wp14:anchorId="75D315F8" wp14:editId="7F0BD7A9">
            <wp:extent cx="5391150" cy="2352675"/>
            <wp:effectExtent l="0" t="0" r="0" b="952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91150" cy="2352675"/>
                    </a:xfrm>
                    <a:prstGeom prst="rect">
                      <a:avLst/>
                    </a:prstGeom>
                    <a:noFill/>
                    <a:ln>
                      <a:noFill/>
                    </a:ln>
                  </pic:spPr>
                </pic:pic>
              </a:graphicData>
            </a:graphic>
          </wp:inline>
        </w:drawing>
      </w:r>
    </w:p>
    <w:p w14:paraId="140EB8A3" w14:textId="34A7EC09" w:rsidR="00B02B09" w:rsidRDefault="00D013FC" w:rsidP="00B02B09">
      <w:r w:rsidRPr="00D013FC">
        <w:t>Tributação</w:t>
      </w:r>
      <w:r w:rsidRPr="00D013FC">
        <w:t xml:space="preserve"> na Previdência Privada</w:t>
      </w:r>
    </w:p>
    <w:p w14:paraId="4F5FF435" w14:textId="1E87F9D9" w:rsidR="00D013FC" w:rsidRDefault="00D013FC" w:rsidP="00D013FC">
      <w:r>
        <w:t>Tributação</w:t>
      </w:r>
    </w:p>
    <w:p w14:paraId="3D859108" w14:textId="6188C642" w:rsidR="00D013FC" w:rsidRDefault="00D013FC" w:rsidP="00D013FC">
      <w:r>
        <w:t>Os planos de previdência complementar abertos possuem regra própria quanto a tributação dos rendimentos (VGBL) ou contribuição de mais rendimento (PGBL).</w:t>
      </w:r>
    </w:p>
    <w:p w14:paraId="1DBB48C7" w14:textId="572AB64E" w:rsidR="00D013FC" w:rsidRDefault="00D013FC" w:rsidP="00D013FC">
      <w:r>
        <w:t>O contribuinte deve escolher entre 2 regimes de tributação possíveis: tabela regressiva ou tabela progressiva.</w:t>
      </w:r>
    </w:p>
    <w:p w14:paraId="1EF58013" w14:textId="1CA0B07F" w:rsidR="00D013FC" w:rsidRDefault="00D013FC" w:rsidP="00D013FC">
      <w:r>
        <w:t xml:space="preserve">Tabela Regressiva </w:t>
      </w:r>
    </w:p>
    <w:p w14:paraId="2916F388" w14:textId="5B9FA9AA" w:rsidR="00D013FC" w:rsidRDefault="00D013FC" w:rsidP="00D013FC">
      <w:r>
        <w:t>Essa modalidade de IR considera o prazo de permanência do investidor no plano de previdência conforme tabela abaixo</w:t>
      </w:r>
    </w:p>
    <w:p w14:paraId="173CBB13" w14:textId="344504DB" w:rsidR="00D013FC" w:rsidRDefault="00D013FC" w:rsidP="00D013FC">
      <w:r>
        <w:rPr>
          <w:noProof/>
        </w:rPr>
        <w:drawing>
          <wp:inline distT="0" distB="0" distL="0" distR="0" wp14:anchorId="4BEFC207" wp14:editId="426CEB15">
            <wp:extent cx="2667000" cy="1704975"/>
            <wp:effectExtent l="0" t="0" r="0" b="952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0" cy="1704975"/>
                    </a:xfrm>
                    <a:prstGeom prst="rect">
                      <a:avLst/>
                    </a:prstGeom>
                    <a:noFill/>
                    <a:ln>
                      <a:noFill/>
                    </a:ln>
                  </pic:spPr>
                </pic:pic>
              </a:graphicData>
            </a:graphic>
          </wp:inline>
        </w:drawing>
      </w:r>
    </w:p>
    <w:p w14:paraId="7D6CB4FC" w14:textId="2029D96B" w:rsidR="00D013FC" w:rsidRDefault="00D013FC" w:rsidP="00D013FC">
      <w:r>
        <w:t>Dá para perceber que esse modelo é recomendado para investidores que possuem um horizonte de tempo maior, pois quanto maior o tempo de permanência do investidor no plano, menor será sua tributação.</w:t>
      </w:r>
    </w:p>
    <w:p w14:paraId="0B8D90BA" w14:textId="00869BEA" w:rsidR="00D013FC" w:rsidRDefault="00D013FC" w:rsidP="00D013FC">
      <w:r>
        <w:t xml:space="preserve">Tabela progressiva </w:t>
      </w:r>
    </w:p>
    <w:p w14:paraId="03FFF5F1" w14:textId="471822C5" w:rsidR="00D013FC" w:rsidRDefault="00D013FC" w:rsidP="00D013FC">
      <w:r>
        <w:t>A tabela progressiva, também chamada de compensável, obedece a mesma regra do IR aplicado à renda obtida através de salários, que vai aumentando na medida em que os valores de recebimentos vão aumentando</w:t>
      </w:r>
    </w:p>
    <w:p w14:paraId="56D80FF6" w14:textId="03FAB357" w:rsidR="00D013FC" w:rsidRDefault="00D013FC" w:rsidP="00D013FC">
      <w:r>
        <w:t>Veja a tabela para entender melhor:</w:t>
      </w:r>
    </w:p>
    <w:p w14:paraId="43BED265" w14:textId="4B0485F0" w:rsidR="00D013FC" w:rsidRDefault="00D013FC" w:rsidP="00D013FC">
      <w:r>
        <w:rPr>
          <w:noProof/>
        </w:rPr>
        <w:lastRenderedPageBreak/>
        <w:drawing>
          <wp:inline distT="0" distB="0" distL="0" distR="0" wp14:anchorId="0442D4FD" wp14:editId="3715719F">
            <wp:extent cx="5400040" cy="1895475"/>
            <wp:effectExtent l="0" t="0" r="0" b="952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040" cy="1895475"/>
                    </a:xfrm>
                    <a:prstGeom prst="rect">
                      <a:avLst/>
                    </a:prstGeom>
                    <a:noFill/>
                    <a:ln>
                      <a:noFill/>
                    </a:ln>
                  </pic:spPr>
                </pic:pic>
              </a:graphicData>
            </a:graphic>
          </wp:inline>
        </w:drawing>
      </w:r>
    </w:p>
    <w:p w14:paraId="169D4E47" w14:textId="7C302AA0" w:rsidR="00D013FC" w:rsidRDefault="00D013FC" w:rsidP="00D013FC">
      <w:r>
        <w:t>Perceba que nessa tabela o que devemos analisar não é necessariamente o prazo de permanência do investidor/contribuinte, mas sim o valor que ele receberá em forma de renda quando da saída do plano</w:t>
      </w:r>
    </w:p>
    <w:p w14:paraId="01574D70" w14:textId="5EE04578" w:rsidR="00D013FC" w:rsidRDefault="00D013FC" w:rsidP="00D013FC">
      <w:r>
        <w:t>Importante: essa tabela é chamada de compensável pois o contribuinte deve levar o IR retido na fonte pela EAPC para sua declaração anual de ajuste de IR. Nesta declaração ele deve somar as demais receitas que tenha, abater eventuais despesas e, dessa forma, ter em sua declaração o resultado definitivo do IR a pagar, podendo, inclusive, ser restituído de parte do valor pago.</w:t>
      </w:r>
    </w:p>
    <w:p w14:paraId="4A4AB5C8" w14:textId="5CD5E47C" w:rsidR="00D013FC" w:rsidRDefault="00D013FC" w:rsidP="00D013FC">
      <w:r>
        <w:t>Cabe ressaltar que, em caso de resgate total ou parcial, será descontado na fonte somente 15% de IR independente do valor. Portanto, em caso de resgate oportuno, não podemos precisar o valor que o investidor pagará de IR, mas somente o percentual que ficará recolhido na fonte (que é 15%)</w:t>
      </w:r>
    </w:p>
    <w:p w14:paraId="07932387" w14:textId="14AB455D" w:rsidR="00D013FC" w:rsidRDefault="00D013FC" w:rsidP="00D013FC">
      <w:r>
        <w:t>Após o recolhimento desse percentual, o investidor, em sua declaração anual de ajuste, pode ter de pagar mais ou ser restituído.</w:t>
      </w:r>
    </w:p>
    <w:p w14:paraId="0990ABDF" w14:textId="7902C39B" w:rsidR="00D013FC" w:rsidRDefault="00F65A3A" w:rsidP="00D013FC">
      <w:r>
        <w:rPr>
          <w:noProof/>
        </w:rPr>
        <w:drawing>
          <wp:inline distT="0" distB="0" distL="0" distR="0" wp14:anchorId="2793F059" wp14:editId="24901BAE">
            <wp:extent cx="5400040" cy="228600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040" cy="2286000"/>
                    </a:xfrm>
                    <a:prstGeom prst="rect">
                      <a:avLst/>
                    </a:prstGeom>
                    <a:noFill/>
                    <a:ln>
                      <a:noFill/>
                    </a:ln>
                  </pic:spPr>
                </pic:pic>
              </a:graphicData>
            </a:graphic>
          </wp:inline>
        </w:drawing>
      </w:r>
    </w:p>
    <w:p w14:paraId="30E09615" w14:textId="3EA8F7F7" w:rsidR="00F65A3A" w:rsidRDefault="00F65A3A" w:rsidP="00F65A3A">
      <w:r>
        <w:t xml:space="preserve">VGBL x PGBL </w:t>
      </w:r>
    </w:p>
    <w:p w14:paraId="65EDF805" w14:textId="733D88AF" w:rsidR="00F65A3A" w:rsidRDefault="00F65A3A" w:rsidP="00F65A3A">
      <w:r>
        <w:t xml:space="preserve"> Começamos a apostila com uma sopa de letrinhas e terminaremos ela com mais um pouco. Então, pode vir com a sua colher.</w:t>
      </w:r>
    </w:p>
    <w:p w14:paraId="7550B2A0" w14:textId="77777777" w:rsidR="00F65A3A" w:rsidRDefault="00F65A3A" w:rsidP="00F65A3A">
      <w:r>
        <w:t>VGBL e PGBL são os dois principais produtos de Previdência Privada do país. A principal diferença entre os dois é que o PGBL compra Imposto de Renda sobre todo o valor acumulado (dinheiro investido + rendimento), enquanto o VGBL cobra somente sobre o rendimento</w:t>
      </w:r>
    </w:p>
    <w:p w14:paraId="33E1AA06" w14:textId="77777777" w:rsidR="00F65A3A" w:rsidRDefault="00F65A3A" w:rsidP="00F65A3A"/>
    <w:p w14:paraId="23E6E664" w14:textId="1AB18621" w:rsidR="00F65A3A" w:rsidRDefault="00F65A3A" w:rsidP="00F65A3A">
      <w:r>
        <w:lastRenderedPageBreak/>
        <w:t>O ponto a ser explorado com o cliente é o tempo que ele está disposto a ficar no plano de previdência. Em planos mais longos, o PGBL muitas vezes oferece mais vantagens. O VGBL costuma ser mais vantajoso a curto e médio prazo</w:t>
      </w:r>
    </w:p>
    <w:p w14:paraId="543B4343" w14:textId="277370D6" w:rsidR="00F65A3A" w:rsidRDefault="00F65A3A" w:rsidP="00F65A3A">
      <w:r>
        <w:t>VGBL</w:t>
      </w:r>
    </w:p>
    <w:p w14:paraId="3B32033E" w14:textId="12BC9B36" w:rsidR="00F65A3A" w:rsidRDefault="00F65A3A" w:rsidP="00F65A3A">
      <w:r>
        <w:t>O VGBL, ou Vida Gerador de Benefício Livre, é aconselhável para aqueles que não têm renda tributável, já que não é dedutível do Imposto de Renda.</w:t>
      </w:r>
    </w:p>
    <w:p w14:paraId="5CD7147E" w14:textId="689B1572" w:rsidR="00F65A3A" w:rsidRDefault="00F65A3A" w:rsidP="00F65A3A">
      <w:r>
        <w:t>Nele, porém, ainda que não seja necessário o pagamento de IR sobre o ganho de capital, é preciso pagar Imposto de Renda sobre o rendimento na hora do resgate.</w:t>
      </w:r>
    </w:p>
    <w:p w14:paraId="4726CF2A" w14:textId="2092A469" w:rsidR="00F65A3A" w:rsidRDefault="00F65A3A" w:rsidP="00F65A3A">
      <w:r>
        <w:t>Se você investiu R$ 1.000,00 e ao final do ano tiver R$ 1.140,00 o IR será abatido do valor de 140 reais.</w:t>
      </w:r>
    </w:p>
    <w:p w14:paraId="3B534556" w14:textId="34BA1C7F" w:rsidR="00F65A3A" w:rsidRDefault="00F65A3A" w:rsidP="00F65A3A">
      <w:r>
        <w:t>PGBL</w:t>
      </w:r>
    </w:p>
    <w:p w14:paraId="4D3A3F47" w14:textId="62E4117F" w:rsidR="00F65A3A" w:rsidRDefault="00F65A3A" w:rsidP="00F65A3A">
      <w:r>
        <w:t>O PGBL, Plano Gerador de Benefício Livre, é mais vantajoso para aqueles que fazem a declaração do Imposto de Renda pelo formulário completo. O PG, como é chamado no mercado, permite que o contribuinte deduza até 12% de sua base de cálculo de IR através de sua declaração de ajuste anual de IR</w:t>
      </w:r>
    </w:p>
    <w:p w14:paraId="13041DD4" w14:textId="62801B69" w:rsidR="00F65A3A" w:rsidRDefault="00F65A3A" w:rsidP="00F65A3A">
      <w:r>
        <w:t>Na prática, isso significa que o investidor/contribuinte deixa de pagar IR no dia de hoje para investir essa parcela de seu rendimento mensal que “sobrou”, pagando IR lá na frente, quando do recebimento do resgate.</w:t>
      </w:r>
    </w:p>
    <w:p w14:paraId="30FCD674" w14:textId="67A88906" w:rsidR="00F65A3A" w:rsidRDefault="00F65A3A" w:rsidP="00F65A3A">
      <w:r>
        <w:t xml:space="preserve">Diferente de todas as modalidades de investimentos estudadas até aqui, o PGBL é tributado na fonte sobre as contribuições e sobre os rendimentos. Isto é, quando o investidor receber o rendimento, será tributado inclusive sobre o que ele contribuiu. </w:t>
      </w:r>
    </w:p>
    <w:p w14:paraId="38F9ABD1" w14:textId="479D8B03" w:rsidR="00F65A3A" w:rsidRDefault="00F65A3A" w:rsidP="00F65A3A">
      <w:r>
        <w:t>No exemplo que demos em VGBL, onde o valor final de aporte + rendimento foi de R$ 1.140,00 o IR seria cobrado em cima deste valor total de 1.140.</w:t>
      </w:r>
    </w:p>
    <w:p w14:paraId="2DEC46B8" w14:textId="0EAA847A" w:rsidR="00F65A3A" w:rsidRDefault="00F65A3A" w:rsidP="00F65A3A">
      <w:r>
        <w:t>Uma observação importante: lembra que falamos sobre a portabilidade? É importante destacar e lembrar, novamente, que a portabilidade só é permitida de PGBL para PGBL e VGBL para VGBL.</w:t>
      </w:r>
    </w:p>
    <w:p w14:paraId="306E447D" w14:textId="324B528C" w:rsidR="00F65A3A" w:rsidRDefault="00F65A3A" w:rsidP="00F65A3A">
      <w:r>
        <w:t xml:space="preserve">Agora que eu disse que o IR sobre o PGBL é cobrado sobre todo o valor, talvez você tenha ficado curioso para entender como isso pode ser considerado um benefício fiscal, não é mesmo? Vamos entender isso na prática: </w:t>
      </w:r>
    </w:p>
    <w:p w14:paraId="507AADAA" w14:textId="5896F53F" w:rsidR="00F65A3A" w:rsidRDefault="00F65A3A" w:rsidP="00F65A3A">
      <w:r>
        <w:t xml:space="preserve">Vamos simular um contribuinte que possua uma renda bruta anual de R$ 54.000,00 e tenha dois dependentes. </w:t>
      </w:r>
    </w:p>
    <w:p w14:paraId="7A16FF60" w14:textId="01EAD825" w:rsidR="00F65A3A" w:rsidRDefault="00F65A3A" w:rsidP="00F65A3A">
      <w:r>
        <w:t>Como é sabido, esse contribuinte terá de fazer uma declaração anual de ajuste de IR. Essa declaração seria, conforme tabela abaixo:</w:t>
      </w:r>
    </w:p>
    <w:p w14:paraId="2972C60E" w14:textId="5D937F37" w:rsidR="00F65A3A" w:rsidRDefault="00F65A3A" w:rsidP="00F65A3A">
      <w:r>
        <w:rPr>
          <w:noProof/>
        </w:rPr>
        <w:lastRenderedPageBreak/>
        <w:drawing>
          <wp:inline distT="0" distB="0" distL="0" distR="0" wp14:anchorId="366B2743" wp14:editId="7D1B894D">
            <wp:extent cx="3876675" cy="3000375"/>
            <wp:effectExtent l="0" t="0" r="9525" b="952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76675" cy="3000375"/>
                    </a:xfrm>
                    <a:prstGeom prst="rect">
                      <a:avLst/>
                    </a:prstGeom>
                    <a:noFill/>
                    <a:ln>
                      <a:noFill/>
                    </a:ln>
                  </pic:spPr>
                </pic:pic>
              </a:graphicData>
            </a:graphic>
          </wp:inline>
        </w:drawing>
      </w:r>
    </w:p>
    <w:p w14:paraId="7E8438CB" w14:textId="2B754634" w:rsidR="00F65A3A" w:rsidRDefault="00F65A3A" w:rsidP="00F65A3A">
      <w:r w:rsidRPr="00F65A3A">
        <w:t>Grave bem o valor que será pago de IR nessa simulação para que possamos simular uma declaração de IR com investimento em um PGBL</w:t>
      </w:r>
    </w:p>
    <w:p w14:paraId="4D1303BE" w14:textId="4914BDB0" w:rsidR="00F65A3A" w:rsidRDefault="00F65A3A" w:rsidP="00F65A3A">
      <w:r>
        <w:rPr>
          <w:noProof/>
        </w:rPr>
        <w:drawing>
          <wp:inline distT="0" distB="0" distL="0" distR="0" wp14:anchorId="6AA0E953" wp14:editId="33687A40">
            <wp:extent cx="3943350" cy="2990850"/>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43350" cy="2990850"/>
                    </a:xfrm>
                    <a:prstGeom prst="rect">
                      <a:avLst/>
                    </a:prstGeom>
                    <a:noFill/>
                    <a:ln>
                      <a:noFill/>
                    </a:ln>
                  </pic:spPr>
                </pic:pic>
              </a:graphicData>
            </a:graphic>
          </wp:inline>
        </w:drawing>
      </w:r>
    </w:p>
    <w:p w14:paraId="6EC66031" w14:textId="7269560E" w:rsidR="00F65A3A" w:rsidRDefault="00F65A3A" w:rsidP="00F65A3A">
      <w:r>
        <w:t xml:space="preserve">Perceba que o valor de IR devido caiu para R$ 421,55. Foi investido R$ 6.480,00 em um PGBL. </w:t>
      </w:r>
    </w:p>
    <w:p w14:paraId="01D25631" w14:textId="4E173BB7" w:rsidR="00F65A3A" w:rsidRDefault="00F65A3A" w:rsidP="00F65A3A">
      <w:r>
        <w:t>Em resumo: esse contribuinte deixou de pagar imposto hoje, investiu o dinheiro emum PGBL e irá pagar esse imposto somente no futuro</w:t>
      </w:r>
    </w:p>
    <w:p w14:paraId="4ACAAFCE" w14:textId="6C5AB338" w:rsidR="00F65A3A" w:rsidRDefault="00F65A3A" w:rsidP="00F65A3A">
      <w:r>
        <w:t xml:space="preserve">Notas importantes sobre o PGBL:  </w:t>
      </w:r>
    </w:p>
    <w:p w14:paraId="667AE8D3" w14:textId="348877D1" w:rsidR="00F65A3A" w:rsidRDefault="00F65A3A" w:rsidP="00F65A3A">
      <w:r>
        <w:t>O titular do plano deve estar contribuindo para o regime geral (INSS), outra previdência oficial ou ainda estar aposentado pelo INSS. Caso o plano esteja em nome dos dependentes, como mulher ou filhos acima de 16 anos, eles terão de contribuir para o INSS para que o responsável pelo investimento possa fazer a dedução</w:t>
      </w:r>
    </w:p>
    <w:p w14:paraId="6479FE6B" w14:textId="58BBB7D6" w:rsidR="00F65A3A" w:rsidRDefault="00F65A3A" w:rsidP="00F65A3A">
      <w:r>
        <w:lastRenderedPageBreak/>
        <w:t>Já os dependentes menores de 16 anos ficam livres dessa exigência, uma vez que estão abaixo da idade mínima permitida para o trabalho sob o regime da Consolidação das Leis do Trabalho (CLT), que prevê a contribuição obrigatória para um regime de Previdência Social.</w:t>
      </w:r>
    </w:p>
    <w:p w14:paraId="3BBDDA3C" w14:textId="6E9A6014" w:rsidR="00F65A3A" w:rsidRDefault="00F65A3A" w:rsidP="00F65A3A">
      <w:r>
        <w:t>Esse plano é indicado para aqueles que têm como deduzir as contribuições da base de cálculo do seu IR. Ou seja, fazem a Declaração Anual de Ajuste do Imposto de Renda da Pessoa Física usando o formulário completo e têm renda bruta (renda tributável) suficiente para absorver esse desconto, que é limitado em 12% da renda</w:t>
      </w:r>
    </w:p>
    <w:p w14:paraId="3364DF78" w14:textId="793D4D01" w:rsidR="00F65A3A" w:rsidRDefault="00F65A3A" w:rsidP="00F65A3A">
      <w:r>
        <w:rPr>
          <w:noProof/>
        </w:rPr>
        <w:drawing>
          <wp:inline distT="0" distB="0" distL="0" distR="0" wp14:anchorId="7450E0B3" wp14:editId="018828F9">
            <wp:extent cx="5391150" cy="219075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1150" cy="2190750"/>
                    </a:xfrm>
                    <a:prstGeom prst="rect">
                      <a:avLst/>
                    </a:prstGeom>
                    <a:noFill/>
                    <a:ln>
                      <a:noFill/>
                    </a:ln>
                  </pic:spPr>
                </pic:pic>
              </a:graphicData>
            </a:graphic>
          </wp:inline>
        </w:drawing>
      </w:r>
    </w:p>
    <w:p w14:paraId="3FC019B9" w14:textId="60FD964E" w:rsidR="00F65A3A" w:rsidRDefault="00F65A3A" w:rsidP="00F65A3A">
      <w:r w:rsidRPr="00F65A3A">
        <w:t>Planejamento PGBL - Previdência Complementar</w:t>
      </w:r>
    </w:p>
    <w:p w14:paraId="1A565A02" w14:textId="540D2803" w:rsidR="00F65A3A" w:rsidRDefault="00F65A3A" w:rsidP="00F65A3A">
      <w:r>
        <w:t>PLANEJAMENTO PREVIDÊNCIÁRIO:</w:t>
      </w:r>
    </w:p>
    <w:p w14:paraId="7168426C" w14:textId="17C4E6FD" w:rsidR="00F65A3A" w:rsidRDefault="00F65A3A" w:rsidP="00F65A3A">
      <w:r>
        <w:t>PGBL: é um plano de previdência complementar fechado com o objetivo de complementar a renda do beneficiário no futuro.</w:t>
      </w:r>
    </w:p>
    <w:p w14:paraId="08B81CED" w14:textId="246F2165" w:rsidR="00F65A3A" w:rsidRDefault="00F65A3A" w:rsidP="00F65A3A">
      <w:r>
        <w:t>QUANDO É INDICADO PGBL</w:t>
      </w:r>
    </w:p>
    <w:p w14:paraId="1A3A569D" w14:textId="77777777" w:rsidR="00F65A3A" w:rsidRDefault="00F65A3A" w:rsidP="00F65A3A">
      <w:r>
        <w:t>Necessário contribuir para o INSS.</w:t>
      </w:r>
    </w:p>
    <w:p w14:paraId="4B198672" w14:textId="77777777" w:rsidR="00F65A3A" w:rsidRDefault="00F65A3A" w:rsidP="00F65A3A">
      <w:r>
        <w:t>Aconselhável para quem possui uma alta renda tributável, porque com esse plano é possível deduzir até 12% no IR.</w:t>
      </w:r>
    </w:p>
    <w:p w14:paraId="2D47B335" w14:textId="77777777" w:rsidR="00F65A3A" w:rsidRDefault="00F65A3A" w:rsidP="00F65A3A">
      <w:r>
        <w:t>Realizar a declaração IR completa.</w:t>
      </w:r>
    </w:p>
    <w:p w14:paraId="32B2D265" w14:textId="77777777" w:rsidR="00F65A3A" w:rsidRDefault="00F65A3A" w:rsidP="00F65A3A">
      <w:r>
        <w:t>Aportar até 12% da renda tributável</w:t>
      </w:r>
    </w:p>
    <w:p w14:paraId="1A58E148" w14:textId="5660D544" w:rsidR="00F65A3A" w:rsidRDefault="00F65A3A" w:rsidP="00F65A3A">
      <w:r>
        <w:t>Aqui vai outro exemplo sobre essa dedução no IR:</w:t>
      </w:r>
    </w:p>
    <w:p w14:paraId="7B7C0EB1" w14:textId="5EC756E1" w:rsidR="00F65A3A" w:rsidRDefault="00F65A3A" w:rsidP="00F65A3A">
      <w:r>
        <w:t>Vamos simular um contribuinte que possua uma renda bruta anual de R$ 54.000,00 e tenha dois dependentes.</w:t>
      </w:r>
    </w:p>
    <w:p w14:paraId="1AF45485" w14:textId="77777777" w:rsidR="00F65A3A" w:rsidRDefault="00F65A3A" w:rsidP="00F65A3A">
      <w:r>
        <w:rPr>
          <w:noProof/>
        </w:rPr>
        <w:lastRenderedPageBreak/>
        <w:drawing>
          <wp:inline distT="0" distB="0" distL="0" distR="0" wp14:anchorId="692F70F9" wp14:editId="5C0DE8D5">
            <wp:extent cx="3876675" cy="3000375"/>
            <wp:effectExtent l="0" t="0" r="9525" b="9525"/>
            <wp:docPr id="15" name="Imagem 15"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m 15" descr="Tabela&#10;&#10;Descrição gerada automaticament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76675" cy="3000375"/>
                    </a:xfrm>
                    <a:prstGeom prst="rect">
                      <a:avLst/>
                    </a:prstGeom>
                    <a:noFill/>
                    <a:ln>
                      <a:noFill/>
                    </a:ln>
                  </pic:spPr>
                </pic:pic>
              </a:graphicData>
            </a:graphic>
          </wp:inline>
        </w:drawing>
      </w:r>
    </w:p>
    <w:p w14:paraId="2A5B2857" w14:textId="77777777" w:rsidR="00F65A3A" w:rsidRDefault="00F65A3A" w:rsidP="00F65A3A">
      <w:r w:rsidRPr="00F65A3A">
        <w:t>Grave bem o valor que será pago de IR nessa simulação para que possamos simular uma declaração de IR com investimento em um PGBL</w:t>
      </w:r>
    </w:p>
    <w:p w14:paraId="06276A06" w14:textId="77777777" w:rsidR="00F65A3A" w:rsidRDefault="00F65A3A" w:rsidP="00F65A3A">
      <w:r>
        <w:rPr>
          <w:noProof/>
        </w:rPr>
        <w:drawing>
          <wp:inline distT="0" distB="0" distL="0" distR="0" wp14:anchorId="1CAA0E32" wp14:editId="42EF4D56">
            <wp:extent cx="3943350" cy="2990850"/>
            <wp:effectExtent l="0" t="0" r="0" b="0"/>
            <wp:docPr id="16" name="Imagem 16"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m 16" descr="Tabela&#10;&#10;Descrição gerada automaticament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43350" cy="2990850"/>
                    </a:xfrm>
                    <a:prstGeom prst="rect">
                      <a:avLst/>
                    </a:prstGeom>
                    <a:noFill/>
                    <a:ln>
                      <a:noFill/>
                    </a:ln>
                  </pic:spPr>
                </pic:pic>
              </a:graphicData>
            </a:graphic>
          </wp:inline>
        </w:drawing>
      </w:r>
    </w:p>
    <w:p w14:paraId="311B288B" w14:textId="77777777" w:rsidR="00F65A3A" w:rsidRDefault="00F65A3A" w:rsidP="00F65A3A">
      <w:r>
        <w:t xml:space="preserve">Perceba que o valor de IR devido caiu para R$ 421,55. Foi investido R$ 6.480,00 em um PGBL. </w:t>
      </w:r>
    </w:p>
    <w:p w14:paraId="79EF3775" w14:textId="77777777" w:rsidR="00F65A3A" w:rsidRDefault="00F65A3A" w:rsidP="00F65A3A">
      <w:r>
        <w:t>Em resumo: esse contribuinte deixou de pagar imposto hoje, investiu o dinheiro emum PGBL e irá pagar esse imposto somente no futuro</w:t>
      </w:r>
    </w:p>
    <w:p w14:paraId="14DD6F86" w14:textId="6EEA2358" w:rsidR="00F65A3A" w:rsidRDefault="00F65A3A" w:rsidP="00F65A3A">
      <w:r>
        <w:t>Perceba que o valor de IR devido caiu para R$ 421,55. Foi investido R$ 6.480,00 em um PGBL. Em resumo: esse contribuinte deixou de pagar imposto hoje, investiu o dinheiro em um PGBL e irá pagar esse imposto somente no futuro.</w:t>
      </w:r>
    </w:p>
    <w:p w14:paraId="0E0C2C18" w14:textId="77777777" w:rsidR="00F65A3A" w:rsidRDefault="00F65A3A" w:rsidP="00F65A3A">
      <w:r>
        <w:t>Então como ocorre o diferimento? O beneficiário não deixa de pagar, ele apenas joga para o futuro esse imposto devido, ou seja, adia o pagamento.</w:t>
      </w:r>
    </w:p>
    <w:p w14:paraId="040441FB" w14:textId="77777777" w:rsidR="00F65A3A" w:rsidRDefault="00F65A3A" w:rsidP="00F65A3A"/>
    <w:p w14:paraId="3CF7D135" w14:textId="2E1ECEA4" w:rsidR="00F65A3A" w:rsidRDefault="00F65A3A" w:rsidP="00F65A3A">
      <w:r>
        <w:lastRenderedPageBreak/>
        <w:t>Vale lembrar que os dependentes menores de 16 anos ficam livres da exigência de contribuir para o INSS, uma vez que estão abaixo da idade mínima permitida para o trabalho sob o regime da Consolidação das Leis do Trabalho (CLT), que prevê a contribuição obrigatória para um regime de Previdência Social.</w:t>
      </w:r>
    </w:p>
    <w:p w14:paraId="49F989E4" w14:textId="6B441677" w:rsidR="00F65A3A" w:rsidRDefault="00F65A3A" w:rsidP="00F65A3A">
      <w:r>
        <w:t>ENTÃO, COMO RECOMENDAR A PREVIDÊNCIA PRIVADA?</w:t>
      </w:r>
    </w:p>
    <w:p w14:paraId="7D26684E" w14:textId="7BEA6C27" w:rsidR="00F65A3A" w:rsidRDefault="00F65A3A" w:rsidP="00F65A3A">
      <w:r>
        <w:t>A primeira pergunta é: o cliente faz a declaração completa do IR? Se a resposta for SIM, lembra que isso é um requisito para o plano PGBL? Então, podemos continuar com as perguntas na resposta positiva.</w:t>
      </w:r>
    </w:p>
    <w:p w14:paraId="52E9DAB9" w14:textId="28FFE46A" w:rsidR="00F65A3A" w:rsidRDefault="00F65A3A" w:rsidP="00F65A3A">
      <w:r>
        <w:t>O cliente é contribuinte da Previdência Oficial (INSS ou RPPS)? Ou seja, ele está participando do regime geral de Previdência Social, ou não! E se a resposta continua sendo SIM, seguiremos para a seguinte pergunta.</w:t>
      </w:r>
    </w:p>
    <w:p w14:paraId="673CEBB9" w14:textId="3EA7088D" w:rsidR="00F65A3A" w:rsidRDefault="00F65A3A" w:rsidP="00F65A3A">
      <w:r>
        <w:t>Este cliente investe até 12% de sua renda extra anual? Se SIM, iremos recomendar o próprio plano PGBL que já tinha mencionado com você.</w:t>
      </w:r>
    </w:p>
    <w:p w14:paraId="5FC2DC0F" w14:textId="2EA658BD" w:rsidR="00F65A3A" w:rsidRDefault="00F65A3A" w:rsidP="00F65A3A">
      <w:r>
        <w:t>Agora, se o seu cliente responder NÃO para a primeira pergunta: “faz declaração completa do IR?”, aí vai mudar tudo. Voltamos à estaca zero para você entender!</w:t>
      </w:r>
    </w:p>
    <w:p w14:paraId="6060DAC6" w14:textId="1B5889AC" w:rsidR="00F65A3A" w:rsidRDefault="00F65A3A" w:rsidP="00F65A3A">
      <w:r>
        <w:t>O cliente faz declaração completa do IR? Agora com a resposta NÃO, partiremos para outro lado e para a pergunta seguinte.</w:t>
      </w:r>
    </w:p>
    <w:p w14:paraId="1EC4B64E" w14:textId="1DC4A0C6" w:rsidR="00F65A3A" w:rsidRDefault="00F65A3A" w:rsidP="00F65A3A">
      <w:r>
        <w:t>A renda e os gastos são compatíveis com o modelo completo da declaração? Se SIM, vamos supor que o cliente ganhe em uma faixa salarial que pague de 15% ou mais de IR.</w:t>
      </w:r>
    </w:p>
    <w:p w14:paraId="431425FD" w14:textId="2C9FDE1A" w:rsidR="00F65A3A" w:rsidRDefault="00F65A3A" w:rsidP="00F65A3A">
      <w:r>
        <w:t>Então, dá para dizer que ele cabe em um modelo completo de declaração. Não adianta alguém ganhar R$ 1.000,00 e querer fazer a declaração completa, pois ele é isento.</w:t>
      </w:r>
    </w:p>
    <w:p w14:paraId="28589653" w14:textId="40EBAEDB" w:rsidR="00F65A3A" w:rsidRDefault="00F65A3A" w:rsidP="00F65A3A">
      <w:r>
        <w:t>Ok, beleza! Ele não faz a declaração completa, mas sim, poderá fazer. Com isso e se ele for contribuinte com a previdência do INSS e investe até 12%, ele irá para o plano PGBL.</w:t>
      </w:r>
    </w:p>
    <w:p w14:paraId="2EB2D8EB" w14:textId="0C185D6C" w:rsidR="00F65A3A" w:rsidRDefault="00F65A3A" w:rsidP="00F65A3A">
      <w:r>
        <w:t>Mas, esse cliente pode ter chegado até certo momento em que ele possui renda compatível com o modelo completo. Porém, é um autônomo, sendo assim não contribui com o INSS.</w:t>
      </w:r>
    </w:p>
    <w:p w14:paraId="77260E9E" w14:textId="0E507D82" w:rsidR="00F65A3A" w:rsidRDefault="00F65A3A" w:rsidP="00F65A3A">
      <w:r>
        <w:t>O que resta para ele é o plano VGBL.</w:t>
      </w:r>
    </w:p>
    <w:p w14:paraId="7F75C709" w14:textId="14EAC9E8" w:rsidR="00F65A3A" w:rsidRDefault="00F65A3A" w:rsidP="00F65A3A">
      <w:r>
        <w:t>Outras situações:</w:t>
      </w:r>
    </w:p>
    <w:p w14:paraId="0F93B76E" w14:textId="40338E67" w:rsidR="00F65A3A" w:rsidRDefault="00F65A3A" w:rsidP="00F65A3A">
      <w:r>
        <w:t>Se o seu cliente não faz a declaração completa do IR e a renda não é compatível com o modelo completo, pois ganha R$ 1.800,00, não faz nenhum sentido ele fazer uma declaração completa.</w:t>
      </w:r>
    </w:p>
    <w:p w14:paraId="1DC9E536" w14:textId="2DA57984" w:rsidR="00F65A3A" w:rsidRDefault="00F65A3A" w:rsidP="00F65A3A">
      <w:r>
        <w:t>Portanto, ele irá para um plano VGBL.</w:t>
      </w:r>
    </w:p>
    <w:p w14:paraId="58B42415" w14:textId="6F4E65D4" w:rsidR="00F65A3A" w:rsidRDefault="00F65A3A" w:rsidP="00F65A3A">
      <w:r>
        <w:t>Contudo, há um seguinte caso, que não está aqui mas é preciso entender!</w:t>
      </w:r>
    </w:p>
    <w:p w14:paraId="50F4C6F2" w14:textId="20E43EEA" w:rsidR="00F65A3A" w:rsidRDefault="00F65A3A" w:rsidP="00F65A3A">
      <w:r>
        <w:t>O cliente pode fazer a declaração completa, é contribuinte oficial, e até contribui 12% da renda extra anual. Só que além desta porcentagem, esse consumidor contribui muito mais, como por exemplo 20% em diante.</w:t>
      </w:r>
    </w:p>
    <w:p w14:paraId="1F1922AD" w14:textId="4FDE5EB6" w:rsidR="00F65A3A" w:rsidRDefault="00F65A3A" w:rsidP="00F65A3A">
      <w:r>
        <w:t>O que acontece aqui, é que o diferimento fiscal é de 12%. E se o cara contribui 20%, ele irá colocar 12% no PGBL e 8% no VBGL.</w:t>
      </w:r>
    </w:p>
    <w:p w14:paraId="0C88BEE0" w14:textId="6D82D97C" w:rsidR="00F65A3A" w:rsidRDefault="00F65A3A" w:rsidP="00F65A3A">
      <w:r>
        <w:lastRenderedPageBreak/>
        <w:t>Isso acontece, porque não há explicação lógica para que ele pague o IR sobre tudo o que foi acumulado se ele pode pagar apenas sobre o rendimento, que é no plano VGBL.</w:t>
      </w:r>
    </w:p>
    <w:p w14:paraId="6A15B811" w14:textId="79FCACEC" w:rsidR="00F65A3A" w:rsidRDefault="00F65A3A" w:rsidP="00F65A3A">
      <w:r>
        <w:t xml:space="preserve">→ Pode haver ganhos fiscais em situações como: </w:t>
      </w:r>
    </w:p>
    <w:p w14:paraId="5915BE6E" w14:textId="22C677F7" w:rsidR="00F65A3A" w:rsidRDefault="00F65A3A" w:rsidP="00F65A3A">
      <w:r>
        <w:t xml:space="preserve">○ Tabela regressiva - recolher alíquota IR de 10%; </w:t>
      </w:r>
    </w:p>
    <w:p w14:paraId="1017612A" w14:textId="7E15BB7C" w:rsidR="00F65A3A" w:rsidRDefault="00F65A3A" w:rsidP="00F65A3A">
      <w:r>
        <w:t xml:space="preserve">○ Tabela progressiva - no momento do resgate, poderá ocasionar ganhos fiscais se: </w:t>
      </w:r>
    </w:p>
    <w:p w14:paraId="0A75C209" w14:textId="092F7E87" w:rsidR="00F65A3A" w:rsidRDefault="00F65A3A" w:rsidP="00F65A3A">
      <w:r>
        <w:rPr>
          <w:rFonts w:ascii="Arial" w:hAnsi="Arial" w:cs="Arial"/>
        </w:rPr>
        <w:t>■</w:t>
      </w:r>
      <w:r>
        <w:t xml:space="preserve"> Ter uma redu</w:t>
      </w:r>
      <w:r>
        <w:rPr>
          <w:rFonts w:ascii="Calibri" w:hAnsi="Calibri" w:cs="Calibri"/>
        </w:rPr>
        <w:t>çã</w:t>
      </w:r>
      <w:r>
        <w:t xml:space="preserve">o de renda; </w:t>
      </w:r>
    </w:p>
    <w:p w14:paraId="6B9E0954" w14:textId="32F4F235" w:rsidR="00F65A3A" w:rsidRDefault="00F65A3A" w:rsidP="00F65A3A">
      <w:r>
        <w:rPr>
          <w:rFonts w:ascii="Arial" w:hAnsi="Arial" w:cs="Arial"/>
        </w:rPr>
        <w:t>■</w:t>
      </w:r>
      <w:r>
        <w:t xml:space="preserve"> N</w:t>
      </w:r>
      <w:r>
        <w:rPr>
          <w:rFonts w:ascii="Calibri" w:hAnsi="Calibri" w:cs="Calibri"/>
        </w:rPr>
        <w:t>ã</w:t>
      </w:r>
      <w:r>
        <w:t>o ter rendimentos tribut</w:t>
      </w:r>
      <w:r>
        <w:rPr>
          <w:rFonts w:ascii="Calibri" w:hAnsi="Calibri" w:cs="Calibri"/>
        </w:rPr>
        <w:t>á</w:t>
      </w:r>
      <w:r>
        <w:t>veis na PF pela redu</w:t>
      </w:r>
      <w:r>
        <w:rPr>
          <w:rFonts w:ascii="Calibri" w:hAnsi="Calibri" w:cs="Calibri"/>
        </w:rPr>
        <w:t>çã</w:t>
      </w:r>
      <w:r>
        <w:t xml:space="preserve">o de renda; </w:t>
      </w:r>
    </w:p>
    <w:p w14:paraId="1C5A5F7F" w14:textId="0939CB0E" w:rsidR="00F65A3A" w:rsidRDefault="00F65A3A" w:rsidP="00F65A3A">
      <w:r>
        <w:rPr>
          <w:rFonts w:ascii="Arial" w:hAnsi="Arial" w:cs="Arial"/>
        </w:rPr>
        <w:t>■</w:t>
      </w:r>
      <w:r>
        <w:t xml:space="preserve"> Benef</w:t>
      </w:r>
      <w:r>
        <w:rPr>
          <w:rFonts w:ascii="Calibri" w:hAnsi="Calibri" w:cs="Calibri"/>
        </w:rPr>
        <w:t>í</w:t>
      </w:r>
      <w:r>
        <w:t xml:space="preserve">cio da receita federal para contribuintes acima de 65 anos; </w:t>
      </w:r>
    </w:p>
    <w:p w14:paraId="59D9F7CB" w14:textId="275AE8E5" w:rsidR="00D013FC" w:rsidRDefault="00F65A3A" w:rsidP="00F65A3A">
      <w:r>
        <w:rPr>
          <w:rFonts w:ascii="Arial" w:hAnsi="Arial" w:cs="Arial"/>
        </w:rPr>
        <w:t>■</w:t>
      </w:r>
      <w:r>
        <w:t xml:space="preserve"> Ex-CLTs que est</w:t>
      </w:r>
      <w:r>
        <w:rPr>
          <w:rFonts w:ascii="Calibri" w:hAnsi="Calibri" w:cs="Calibri"/>
        </w:rPr>
        <w:t>ã</w:t>
      </w:r>
      <w:r>
        <w:t>o recebendo seus rendimentos por um CNPJ.</w:t>
      </w:r>
    </w:p>
    <w:p w14:paraId="65A571D4" w14:textId="68AE8D33" w:rsidR="00F65A3A" w:rsidRDefault="00EF1F64" w:rsidP="00F65A3A">
      <w:r>
        <w:rPr>
          <w:noProof/>
        </w:rPr>
        <w:drawing>
          <wp:inline distT="0" distB="0" distL="0" distR="0" wp14:anchorId="7C8AA9A2" wp14:editId="47DFB313">
            <wp:extent cx="5391150" cy="272415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1150" cy="2724150"/>
                    </a:xfrm>
                    <a:prstGeom prst="rect">
                      <a:avLst/>
                    </a:prstGeom>
                    <a:noFill/>
                    <a:ln>
                      <a:noFill/>
                    </a:ln>
                  </pic:spPr>
                </pic:pic>
              </a:graphicData>
            </a:graphic>
          </wp:inline>
        </w:drawing>
      </w:r>
    </w:p>
    <w:p w14:paraId="0B6BCF7F" w14:textId="7A6AA9B1" w:rsidR="00EF1F64" w:rsidRDefault="00972B45" w:rsidP="00F65A3A">
      <w:r w:rsidRPr="00972B45">
        <w:t>Migração e Portabilidade na Previdência Complementar</w:t>
      </w:r>
    </w:p>
    <w:p w14:paraId="7D243C48" w14:textId="03AD5CCB" w:rsidR="00972B45" w:rsidRDefault="00972B45" w:rsidP="00972B45">
      <w:r>
        <w:t>Portabilidade</w:t>
      </w:r>
    </w:p>
    <w:p w14:paraId="3DB6F8FC" w14:textId="3AC4C2F1" w:rsidR="00972B45" w:rsidRDefault="00972B45" w:rsidP="00972B45">
      <w:r>
        <w:t>Acredite, esse tipo de portabilidade parece ser mais fácil, e menos burocrático, do que trocar de operadora de celular</w:t>
      </w:r>
    </w:p>
    <w:p w14:paraId="0F3D4348" w14:textId="29776627" w:rsidR="00972B45" w:rsidRDefault="00972B45" w:rsidP="00972B45">
      <w:r>
        <w:t>Esta portabilidade permite ao segurado ou participante migrar seus recursos durante o período de acumulação desde que a mudança seja feita entre produtos da mesma espécie.</w:t>
      </w:r>
    </w:p>
    <w:p w14:paraId="1E7894C4" w14:textId="6496AE66" w:rsidR="00972B45" w:rsidRDefault="00972B45" w:rsidP="00972B45">
      <w:r>
        <w:t>Quem contribuiu para PGBL só poderá migrar para outro PGBL e quem contribuiu para um VGBL só pode migrar para um VGBL.</w:t>
      </w:r>
    </w:p>
    <w:p w14:paraId="192ABEEF" w14:textId="4B5FF19C" w:rsidR="00972B45" w:rsidRDefault="00972B45" w:rsidP="00972B45">
      <w:r>
        <w:t>Os planos de previdência permitem portabilidades entre administradores. Isto é, o investidor é livre para migrar seus recursos entre instituições sem a necessidade de resgatar o recurso em uma instituição para, só então, aplicar na outra instituição. Existem dois tipos de portabilidade:</w:t>
      </w:r>
    </w:p>
    <w:p w14:paraId="42DD755E" w14:textId="560CFD58" w:rsidR="00972B45" w:rsidRDefault="00972B45" w:rsidP="00972B45">
      <w:r>
        <w:rPr>
          <w:rFonts w:ascii="Segoe UI Symbol" w:hAnsi="Segoe UI Symbol" w:cs="Segoe UI Symbol"/>
        </w:rPr>
        <w:t>⯀</w:t>
      </w:r>
      <w:r>
        <w:t xml:space="preserve"> Portabilidade externa: migração de plano de previdência entre instituições. </w:t>
      </w:r>
    </w:p>
    <w:p w14:paraId="3E5E2415" w14:textId="5F54DF72" w:rsidR="00972B45" w:rsidRDefault="00972B45" w:rsidP="00972B45">
      <w:r>
        <w:rPr>
          <w:rFonts w:ascii="Segoe UI Symbol" w:hAnsi="Segoe UI Symbol" w:cs="Segoe UI Symbol"/>
        </w:rPr>
        <w:t>⯀</w:t>
      </w:r>
      <w:r>
        <w:t xml:space="preserve"> Portabilidade interna: migração entre planos administrados pela mesma Instituição Financeira, também chamada de transferência entre planos.</w:t>
      </w:r>
    </w:p>
    <w:p w14:paraId="22E2444E" w14:textId="011A0C42" w:rsidR="00972B45" w:rsidRDefault="00972B45" w:rsidP="00972B45">
      <w:r>
        <w:lastRenderedPageBreak/>
        <w:t>Não há incidência de Imposto de Renda no momento da portabilidade. A acumulação dos recursos permanece e será preservada na contagem de tempo, no caso de tributação definitiva, à Tabela Regressiva de alíquotas</w:t>
      </w:r>
    </w:p>
    <w:p w14:paraId="3F5B83CD" w14:textId="1674DD1F" w:rsidR="00972B45" w:rsidRDefault="00972B45" w:rsidP="00972B45">
      <w:r>
        <w:t>O regime de tributação do plano, se o for definitivo (Tabela Regressiva), será preservado considerando-se irreversível. A contagem do tempo não será interrompida.</w:t>
      </w:r>
    </w:p>
    <w:p w14:paraId="7D40B2B2" w14:textId="6EAA4DBA" w:rsidR="00972B45" w:rsidRDefault="00972B45" w:rsidP="00972B45">
      <w:r>
        <w:t>Quem optou pelo regime tributável poderá, no momento da portabilidade, mudar para o regime de tributação do plano, se for definitiva; neste caso, a contagem de tempo anterior será descartada e será reiniciado na data da portabilidade.</w:t>
      </w:r>
    </w:p>
    <w:p w14:paraId="46130BDC" w14:textId="2A7BE91A" w:rsidR="00972B45" w:rsidRDefault="00972B45" w:rsidP="00972B45">
      <w:r>
        <w:t>Migração entre planos</w:t>
      </w:r>
    </w:p>
    <w:p w14:paraId="115D7536" w14:textId="68E4BEE3" w:rsidR="00972B45" w:rsidRDefault="00972B45" w:rsidP="00972B45">
      <w:r>
        <w:t>O contribuinte pode migrar seu regime de tributação de compensável (progressivo) para regressivo. No entanto, em caso de mudança, o tempo de contribuição passa a contar a partir da mudança do plano. Isso quer dizer que seu tempo zera quando você muda a tributação, então explique isso muito bem ao cliente.</w:t>
      </w:r>
    </w:p>
    <w:p w14:paraId="68FCDF70" w14:textId="2CCD9424" w:rsidR="00972B45" w:rsidRDefault="00972B45" w:rsidP="00972B45">
      <w:r>
        <w:t xml:space="preserve"> Importante: migração de regressivo para progressivo não é permitida.</w:t>
      </w:r>
    </w:p>
    <w:p w14:paraId="65B8EBFD" w14:textId="14DB4783" w:rsidR="00972B45" w:rsidRDefault="00972B45" w:rsidP="00972B45">
      <w:r>
        <w:rPr>
          <w:noProof/>
        </w:rPr>
        <w:drawing>
          <wp:inline distT="0" distB="0" distL="0" distR="0" wp14:anchorId="0A9BACA1" wp14:editId="2E03526F">
            <wp:extent cx="5400040" cy="1924050"/>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0040" cy="1924050"/>
                    </a:xfrm>
                    <a:prstGeom prst="rect">
                      <a:avLst/>
                    </a:prstGeom>
                    <a:noFill/>
                    <a:ln>
                      <a:noFill/>
                    </a:ln>
                  </pic:spPr>
                </pic:pic>
              </a:graphicData>
            </a:graphic>
          </wp:inline>
        </w:drawing>
      </w:r>
    </w:p>
    <w:p w14:paraId="3B533C04" w14:textId="2E898741" w:rsidR="00972B45" w:rsidRDefault="00A20CBC" w:rsidP="00972B45">
      <w:r w:rsidRPr="00A20CBC">
        <w:t>Como Recomendar Previdência</w:t>
      </w:r>
    </w:p>
    <w:p w14:paraId="220798A1" w14:textId="4621DD7A" w:rsidR="00A20CBC" w:rsidRDefault="00A20CBC" w:rsidP="00A20CBC">
      <w:r>
        <w:t>Como Recomendar Previdência Privada</w:t>
      </w:r>
    </w:p>
    <w:p w14:paraId="2B8E4355" w14:textId="1CDC2FC8" w:rsidR="00A20CBC" w:rsidRDefault="00A20CBC" w:rsidP="00A20CBC">
      <w:r>
        <w:t>O seu cliente faz a declaração completa de ajuste anual do Imposto de Renda? Essa é uma pergunta muito importante porque o PGBL só é vantajoso a quem faz a declaração completa do IR. Lembre de nosso material sobre a diferença entre VGBL e PGBL que o segundo modelo sofre tributação sobre todo o valor investido uma vez que há vantagem fiscal;</w:t>
      </w:r>
    </w:p>
    <w:p w14:paraId="75C7CA30" w14:textId="6FDA74E3" w:rsidR="00A20CBC" w:rsidRDefault="00A20CBC" w:rsidP="00A20CBC">
      <w:r>
        <w:t>SIM: Em resposta afirmativa o cliente deve considerar fazer o plano PGBL;</w:t>
      </w:r>
    </w:p>
    <w:p w14:paraId="1DF7EC66" w14:textId="2AC32E83" w:rsidR="00A20CBC" w:rsidRDefault="00A20CBC" w:rsidP="00A20CBC">
      <w:r>
        <w:t>NÃO: Em caso negativo, o cliente deve responder a pergunta número 2;</w:t>
      </w:r>
    </w:p>
    <w:p w14:paraId="4540F568" w14:textId="54AF9B02" w:rsidR="00A20CBC" w:rsidRDefault="00A20CBC" w:rsidP="00A20CBC">
      <w:r>
        <w:t>Mesmo o cliente não fazendo a declaração completa, os gastos seu cliente são compatíveis com o modelo completo de declaração? Esta é uma pergunta extremamente importante porque se o cliente não faz a declaração completa mas tem alta renda tributável, despesas medicas, despesas com educação, possui dependentes e outros fatores pode ser vantajoso ele mudar do modelo simplificado para o modelo completo</w:t>
      </w:r>
    </w:p>
    <w:p w14:paraId="4F2D1A67" w14:textId="2CCBB381" w:rsidR="00A20CBC" w:rsidRDefault="00A20CBC" w:rsidP="00A20CBC">
      <w:r>
        <w:t>SIM: Deve considerar fazer o plano PGBL;</w:t>
      </w:r>
    </w:p>
    <w:p w14:paraId="06E52116" w14:textId="465B0495" w:rsidR="00A20CBC" w:rsidRDefault="00A20CBC" w:rsidP="00A20CBC">
      <w:r>
        <w:lastRenderedPageBreak/>
        <w:t>NÃO: Deve ser recomendado exclusivamente um plano PGBL;IMPORTANTE: Vale lembrar que, mesmo o cliente tendo feito declaração simplificada no exercício anterior, nada impede que ele faça a declaração pelo modelo completo este ano ou vice e versa.</w:t>
      </w:r>
    </w:p>
    <w:p w14:paraId="049E9BA7" w14:textId="34E4BE08" w:rsidR="00A20CBC" w:rsidRDefault="00A20CBC" w:rsidP="00A20CBC">
      <w:r>
        <w:t>O cliente é contribuinte da previdência oficial (INSS ou RPPS)? Pergunta importante, só há o benefício fiscal do PGBL se o cliente for contribuinte da previdência oficial.</w:t>
      </w:r>
    </w:p>
    <w:p w14:paraId="7195A860" w14:textId="10916538" w:rsidR="00A20CBC" w:rsidRDefault="00A20CBC" w:rsidP="00A20CBC">
      <w:r>
        <w:t>SIM: Continuar na sequência de perguntas;</w:t>
      </w:r>
    </w:p>
    <w:p w14:paraId="0601A9AD" w14:textId="6E7B7055" w:rsidR="00A20CBC" w:rsidRDefault="00A20CBC" w:rsidP="00A20CBC">
      <w:r>
        <w:t>NÃO: Deve ser recomendado exclusivamente previdência do tipo VGBL;</w:t>
      </w:r>
    </w:p>
    <w:p w14:paraId="3E0D9AA4" w14:textId="50086E47" w:rsidR="00A20CBC" w:rsidRDefault="00A20CBC" w:rsidP="00A20CBC">
      <w:r>
        <w:t>O cliente investe até 12% da sua renda bruta anual?</w:t>
      </w:r>
    </w:p>
    <w:p w14:paraId="2EB0C424" w14:textId="17FFEBDE" w:rsidR="00A20CBC" w:rsidRDefault="00A20CBC" w:rsidP="00A20CBC">
      <w:r>
        <w:t>SIM: Recomende o PGBL.</w:t>
      </w:r>
    </w:p>
    <w:p w14:paraId="4E615E76" w14:textId="1C3A78A6" w:rsidR="00A20CBC" w:rsidRDefault="00A20CBC" w:rsidP="00A20CBC">
      <w:r>
        <w:t>NÃO: O cliente deve subir o valor do investimento para aproveitar o benefício máximo do PGBL mas continuar alocando em PGBL</w:t>
      </w:r>
    </w:p>
    <w:p w14:paraId="0A333E4B" w14:textId="253D70BF" w:rsidR="00A20CBC" w:rsidRDefault="00A20CBC" w:rsidP="00A20CBC">
      <w:r>
        <w:rPr>
          <w:noProof/>
        </w:rPr>
        <w:drawing>
          <wp:inline distT="0" distB="0" distL="0" distR="0" wp14:anchorId="4D3D947E" wp14:editId="2C043453">
            <wp:extent cx="3657600" cy="3749040"/>
            <wp:effectExtent l="0" t="0" r="0" b="381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57600" cy="3749040"/>
                    </a:xfrm>
                    <a:prstGeom prst="rect">
                      <a:avLst/>
                    </a:prstGeom>
                    <a:noFill/>
                    <a:ln>
                      <a:noFill/>
                    </a:ln>
                  </pic:spPr>
                </pic:pic>
              </a:graphicData>
            </a:graphic>
          </wp:inline>
        </w:drawing>
      </w:r>
    </w:p>
    <w:p w14:paraId="40A0E85C" w14:textId="392EF838" w:rsidR="00A20CBC" w:rsidRDefault="00A20CBC" w:rsidP="00A20CBC">
      <w:r>
        <w:t>Não tem muito mistério. Com essas quatro perguntas você fica apto a responder todos os casos e nunca mais vai errar questões sobre previdência social. Agora que você está afiado, que tal praticar em nosso simulado personalizado da ANBIMA?</w:t>
      </w:r>
    </w:p>
    <w:p w14:paraId="5F37BDC4" w14:textId="522038C6" w:rsidR="00A20CBC" w:rsidRDefault="00A20CBC" w:rsidP="00A20CBC">
      <w:r>
        <w:t>Já aprendeu a recomendar previdência privada? Tem uma Pegadinha</w:t>
      </w:r>
    </w:p>
    <w:p w14:paraId="2BC29F2D" w14:textId="59F55296" w:rsidR="00A20CBC" w:rsidRDefault="00A20CBC" w:rsidP="00A20CBC">
      <w:r>
        <w:t>Saber como recomendar previdência privada ficou fácil. Mas e se o cliente tem o perfil de PGBL e deseja investir mais de 12% da sua renda tributável em planos de previdência?</w:t>
      </w:r>
    </w:p>
    <w:p w14:paraId="03D1EAAF" w14:textId="513DFD03" w:rsidR="00A20CBC" w:rsidRDefault="00A20CBC" w:rsidP="00A20CBC">
      <w:r>
        <w:t xml:space="preserve">Repare que, se o cliente quer aplicar mais de 12% de sua renda na previdência o benefício fiscal será ultrapassado. Como fica? Muito simples! Aplica-se 12% em PGBL (para aproveitar o máximo do benefício fiscal) e o restante aplica-se em um VGBL. Por exemplo, se o investidor quer aportar 24% de sua renda em produtos de previdência podemos orientá-lo a colocar 12% </w:t>
      </w:r>
      <w:r>
        <w:lastRenderedPageBreak/>
        <w:t>em PGBL (para aproveitar o benefício fiscal) e os demais 12% em um VGBL (para ser tributado apenas sobre os rendimentos e não sobre o valor total).</w:t>
      </w:r>
    </w:p>
    <w:p w14:paraId="411B1CCA" w14:textId="336E20F4" w:rsidR="00A20CBC" w:rsidRDefault="00A20CBC" w:rsidP="00A20CBC">
      <w:r>
        <w:t>Lembre sempre que o VGBL tributa somente sobre o rendimento, então se eu aportar R$100,00 e vier resgatar R$ 110,00 a tributação será somente sobre o rendimento, ou seja os R$ 10,00. Já o PGBL tributa o valor total, nesse caso os R$ 110,00 o que é extremamente desvantajoso para o cliente se ele não se aproveita do benefício fiscal.</w:t>
      </w:r>
    </w:p>
    <w:p w14:paraId="22F31007" w14:textId="5BAA9A8A" w:rsidR="00A20CBC" w:rsidRDefault="00A20CBC" w:rsidP="00A20CBC">
      <w:r>
        <w:rPr>
          <w:noProof/>
        </w:rPr>
        <w:drawing>
          <wp:inline distT="0" distB="0" distL="0" distR="0" wp14:anchorId="0FEDA0FA" wp14:editId="79FA7B01">
            <wp:extent cx="5391150" cy="3333750"/>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91150" cy="3333750"/>
                    </a:xfrm>
                    <a:prstGeom prst="rect">
                      <a:avLst/>
                    </a:prstGeom>
                    <a:noFill/>
                    <a:ln>
                      <a:noFill/>
                    </a:ln>
                  </pic:spPr>
                </pic:pic>
              </a:graphicData>
            </a:graphic>
          </wp:inline>
        </w:drawing>
      </w:r>
    </w:p>
    <w:p w14:paraId="3AF78CA1" w14:textId="3016677E" w:rsidR="00A20CBC" w:rsidRDefault="00A20CBC" w:rsidP="00A20CBC">
      <w:r>
        <w:rPr>
          <w:noProof/>
        </w:rPr>
        <w:drawing>
          <wp:inline distT="0" distB="0" distL="0" distR="0" wp14:anchorId="114F42F7" wp14:editId="03FCCC55">
            <wp:extent cx="5391150" cy="2009775"/>
            <wp:effectExtent l="0" t="0" r="0" b="9525"/>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91150" cy="2009775"/>
                    </a:xfrm>
                    <a:prstGeom prst="rect">
                      <a:avLst/>
                    </a:prstGeom>
                    <a:noFill/>
                    <a:ln>
                      <a:noFill/>
                    </a:ln>
                  </pic:spPr>
                </pic:pic>
              </a:graphicData>
            </a:graphic>
          </wp:inline>
        </w:drawing>
      </w:r>
    </w:p>
    <w:p w14:paraId="668D2290" w14:textId="3544D974" w:rsidR="00A20CBC" w:rsidRDefault="009654A0" w:rsidP="00A20CBC">
      <w:r w:rsidRPr="009654A0">
        <w:t>Riscos da Previdência</w:t>
      </w:r>
    </w:p>
    <w:p w14:paraId="1CCA1EC6" w14:textId="5BB422AD" w:rsidR="009654A0" w:rsidRDefault="009654A0" w:rsidP="009654A0">
      <w:r>
        <w:t xml:space="preserve">UAIS SÃO OS RISCOS DA PREVIDÊNCIA COMPLEMENTAR? </w:t>
      </w:r>
    </w:p>
    <w:p w14:paraId="7BC2724C" w14:textId="3F0FC98E" w:rsidR="009654A0" w:rsidRDefault="009654A0" w:rsidP="009654A0">
      <w:r>
        <w:t>Como você deve imaginar a uma hora dessas, investir em um plano de previdência é, assim como qualquer outro investimento, arriscado.</w:t>
      </w:r>
    </w:p>
    <w:p w14:paraId="5B474272" w14:textId="1F41EC37" w:rsidR="009654A0" w:rsidRDefault="009654A0" w:rsidP="009654A0">
      <w:r>
        <w:t>Durante a fase de diferimento, o risco de um plano de previdência está associado aos ativos que compõem a carteira do FIE que atende o próprio plano. Isto é, se o FIE investe em ativos de Renda Fixa privada, o risco é de crédito, de liquidez e mercado. Porém, importante destacar, nesta fase o risco está associado aos ativos.</w:t>
      </w:r>
    </w:p>
    <w:p w14:paraId="6E4D8F8E" w14:textId="45711BBD" w:rsidR="009654A0" w:rsidRDefault="009654A0" w:rsidP="009654A0">
      <w:r>
        <w:lastRenderedPageBreak/>
        <w:t>Depois, na fase de renda, o risco está na seguradora, vinculado ao risco de crédito, ou seja, na possibilidade da seguradora pagar ou não o beneficiário.</w:t>
      </w:r>
    </w:p>
    <w:p w14:paraId="18A48B88" w14:textId="6C42457F" w:rsidR="009654A0" w:rsidRDefault="009654A0" w:rsidP="009654A0">
      <w:r>
        <w:t>Ainda no meu exemplo, onde eu acumulei R$ 1.000.000,00, a partir do momento que eu contrato o serviço de renda vitalícia, faz sentido que neste momento eu entrego o dinheiro nas mãos da seguradora para que ela me pague por mês? E se, neste momento, essa seguradora quebra? pois é, neste caso, meu patrimônio está em risco.</w:t>
      </w:r>
    </w:p>
    <w:p w14:paraId="2D57037E" w14:textId="28A33BBD" w:rsidR="009654A0" w:rsidRDefault="009654A0" w:rsidP="009654A0">
      <w:r>
        <w:t>Recapitulando: na fase de diferimento, o risco está associado aos ativos que compõe a carteira do FIE. Na fase de renda, o risco é de crédito associado a seguradora, ok?</w:t>
      </w:r>
    </w:p>
    <w:p w14:paraId="193782ED" w14:textId="0E4F9482" w:rsidR="009654A0" w:rsidRDefault="009654A0" w:rsidP="009654A0">
      <w:r>
        <w:rPr>
          <w:noProof/>
        </w:rPr>
        <w:drawing>
          <wp:inline distT="0" distB="0" distL="0" distR="0" wp14:anchorId="5814A4C2" wp14:editId="32328939">
            <wp:extent cx="5400040" cy="1885950"/>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00040" cy="1885950"/>
                    </a:xfrm>
                    <a:prstGeom prst="rect">
                      <a:avLst/>
                    </a:prstGeom>
                    <a:noFill/>
                    <a:ln>
                      <a:noFill/>
                    </a:ln>
                  </pic:spPr>
                </pic:pic>
              </a:graphicData>
            </a:graphic>
          </wp:inline>
        </w:drawing>
      </w:r>
    </w:p>
    <w:p w14:paraId="1E010450" w14:textId="433E6B08" w:rsidR="009654A0" w:rsidRDefault="009654A0" w:rsidP="009654A0">
      <w:r w:rsidRPr="009654A0">
        <w:t>Excedente Financeiro</w:t>
      </w:r>
    </w:p>
    <w:p w14:paraId="31C17CE7" w14:textId="23CF6985" w:rsidR="009654A0" w:rsidRDefault="009654A0" w:rsidP="009654A0">
      <w:r>
        <w:t>O QUE É EXCEDENTE FINANCEIRO?</w:t>
      </w:r>
    </w:p>
    <w:p w14:paraId="7509D553" w14:textId="28000513" w:rsidR="009654A0" w:rsidRDefault="009654A0" w:rsidP="009654A0">
      <w:r>
        <w:t>Para falarmos sobre o excedente financeiro é necessário voltar para os planos de pagamento mensal. Veja, quando um investidor negocia com a seguradora que, a partir daquele momento, não vai mais aportar recursos, mas vai receber mensalmente, ele está na prática, dizendo: “Seguradora, a partir de agora todo o meu saldo acumulado está sob sua gestão e você vai me pagando a aposentadoria, fechado?”</w:t>
      </w:r>
    </w:p>
    <w:p w14:paraId="4CD477AA" w14:textId="0164C0BE" w:rsidR="009654A0" w:rsidRDefault="009654A0" w:rsidP="009654A0">
      <w:r>
        <w:t>É claro que esse acordo será feito com um contrato de renda, mas o ponto é o seguinte: Como esse dinheiro é remunerado?</w:t>
      </w:r>
    </w:p>
    <w:p w14:paraId="1F47FE2E" w14:textId="1CD70EF0" w:rsidR="009654A0" w:rsidRDefault="009654A0" w:rsidP="009654A0">
      <w:r>
        <w:t>Deixa eu explicar isso com um exemplo. Imagine que eu, Kléber, depois de ter acumulado R$ 1.000.000,00 no plano de previdência, contrato um plano de renda vitalícia.</w:t>
      </w:r>
    </w:p>
    <w:p w14:paraId="141BEE9A" w14:textId="2A4B5B73" w:rsidR="009654A0" w:rsidRDefault="009654A0" w:rsidP="009654A0">
      <w:r>
        <w:t>Agora, que o meu saldo acumulado está em poder da seguradora e ela vai me pagando aos poucos, certo? Mas, pergunto a você, o que a seguradora vai fazer com o meu saldo acumulado? Se você, que é um especialista em investimentos, pensou que ela vai investir meu dinheiro, você acertou.</w:t>
      </w:r>
    </w:p>
    <w:p w14:paraId="41194C1B" w14:textId="54780EA7" w:rsidR="009654A0" w:rsidRDefault="009654A0" w:rsidP="009654A0">
      <w:r>
        <w:t>Então, a seguradora vai pegar o meu saldo acumulado, investir no Mercado Financeiro para que esse dinheiro tenha uma rentabilidade e assim ela possa ter o dinheiro corrigido para que minha aposentadoria não se deprecie ao longo do tempo. Afinal de contas é necessário corrigir minha aposentadoria anualmente pela inflação.</w:t>
      </w:r>
    </w:p>
    <w:p w14:paraId="6F2E7B43" w14:textId="1B458124" w:rsidR="009654A0" w:rsidRDefault="009654A0" w:rsidP="009654A0">
      <w:r>
        <w:t>É aqui que entra o excedente financeiro. A seguradora pode repassar o excedente para o investidor.</w:t>
      </w:r>
    </w:p>
    <w:p w14:paraId="3AA6C7A8" w14:textId="492E9636" w:rsidR="009654A0" w:rsidRDefault="009654A0" w:rsidP="009654A0">
      <w:r>
        <w:t xml:space="preserve">Imagine que a seguradora consiga investir o saldo acumulado em uma NTN-B que está pagando a variação do IPCA + 5% ao ano. Neste caso, a seguradora está atualizando o saldo </w:t>
      </w:r>
      <w:r>
        <w:lastRenderedPageBreak/>
        <w:t>pela inflação e ainda, ganhando 5% ao ano. O excedente financeiro faz com que a seguradora repassa parte desse excedente ao investidor.</w:t>
      </w:r>
    </w:p>
    <w:p w14:paraId="457775E6" w14:textId="05EBFBFC" w:rsidR="009654A0" w:rsidRDefault="009654A0" w:rsidP="009654A0">
      <w:r>
        <w:t>Neste caso, se meu plano tivesse um excedente financeiro de 50% a dinâmica seria desenhada da seguinte forma: seria repassado para mim, 50% do rendimento acima da inflação que, neste caso é 50% de 5. Ou seja, 2,5% ao ano.</w:t>
      </w:r>
    </w:p>
    <w:p w14:paraId="4C9CF3D6" w14:textId="670FCEF5" w:rsidR="009654A0" w:rsidRDefault="009654A0" w:rsidP="009654A0">
      <w:r>
        <w:t>Assim, quanto maior for o excedente financeiro de um plano de previdência maior será o valor repassado ao investidor. Importante destacar que o excedente financeiro é calculado somente sobre o ganho real do investimento do saldo. Isso porque a atualização pela inflação é utilizada para corrigir a renda do investidor.</w:t>
      </w:r>
    </w:p>
    <w:p w14:paraId="64837D52" w14:textId="301A0A06" w:rsidR="009654A0" w:rsidRDefault="009654A0" w:rsidP="009654A0">
      <w:r>
        <w:rPr>
          <w:noProof/>
        </w:rPr>
        <w:drawing>
          <wp:inline distT="0" distB="0" distL="0" distR="0" wp14:anchorId="30C70AE3" wp14:editId="3DB6FD23">
            <wp:extent cx="5400040" cy="2200275"/>
            <wp:effectExtent l="0" t="0" r="0" b="9525"/>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0040" cy="2200275"/>
                    </a:xfrm>
                    <a:prstGeom prst="rect">
                      <a:avLst/>
                    </a:prstGeom>
                    <a:noFill/>
                    <a:ln>
                      <a:noFill/>
                    </a:ln>
                  </pic:spPr>
                </pic:pic>
              </a:graphicData>
            </a:graphic>
          </wp:inline>
        </w:drawing>
      </w:r>
    </w:p>
    <w:p w14:paraId="6D1684C7" w14:textId="77777777" w:rsidR="00A20CBC" w:rsidRDefault="00A20CBC" w:rsidP="00972B45"/>
    <w:sectPr w:rsidR="00A20CBC">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0B66B4F"/>
    <w:multiLevelType w:val="multilevel"/>
    <w:tmpl w:val="F94C8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6B9F"/>
    <w:rsid w:val="000713FF"/>
    <w:rsid w:val="00381D8B"/>
    <w:rsid w:val="005A6080"/>
    <w:rsid w:val="00602D83"/>
    <w:rsid w:val="007700FD"/>
    <w:rsid w:val="009654A0"/>
    <w:rsid w:val="00972B45"/>
    <w:rsid w:val="00A20CBC"/>
    <w:rsid w:val="00B02B09"/>
    <w:rsid w:val="00B56FE6"/>
    <w:rsid w:val="00D013FC"/>
    <w:rsid w:val="00D94645"/>
    <w:rsid w:val="00EF1F64"/>
    <w:rsid w:val="00F16B9F"/>
    <w:rsid w:val="00F65A3A"/>
    <w:rsid w:val="00F6663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788349"/>
  <w15:chartTrackingRefBased/>
  <w15:docId w15:val="{31588811-420F-4B7E-A27E-07428D325B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basedOn w:val="Fontepargpadro"/>
    <w:uiPriority w:val="99"/>
    <w:unhideWhenUsed/>
    <w:rsid w:val="00B56FE6"/>
    <w:rPr>
      <w:color w:val="0563C1" w:themeColor="hyperlink"/>
      <w:u w:val="single"/>
    </w:rPr>
  </w:style>
  <w:style w:type="character" w:styleId="MenoPendente">
    <w:name w:val="Unresolved Mention"/>
    <w:basedOn w:val="Fontepargpadro"/>
    <w:uiPriority w:val="99"/>
    <w:semiHidden/>
    <w:unhideWhenUsed/>
    <w:rsid w:val="00B56FE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471481">
      <w:bodyDiv w:val="1"/>
      <w:marLeft w:val="0"/>
      <w:marRight w:val="0"/>
      <w:marTop w:val="0"/>
      <w:marBottom w:val="0"/>
      <w:divBdr>
        <w:top w:val="none" w:sz="0" w:space="0" w:color="auto"/>
        <w:left w:val="none" w:sz="0" w:space="0" w:color="auto"/>
        <w:bottom w:val="none" w:sz="0" w:space="0" w:color="auto"/>
        <w:right w:val="none" w:sz="0" w:space="0" w:color="auto"/>
      </w:divBdr>
    </w:div>
    <w:div w:id="181939275">
      <w:bodyDiv w:val="1"/>
      <w:marLeft w:val="0"/>
      <w:marRight w:val="0"/>
      <w:marTop w:val="0"/>
      <w:marBottom w:val="0"/>
      <w:divBdr>
        <w:top w:val="none" w:sz="0" w:space="0" w:color="auto"/>
        <w:left w:val="none" w:sz="0" w:space="0" w:color="auto"/>
        <w:bottom w:val="none" w:sz="0" w:space="0" w:color="auto"/>
        <w:right w:val="none" w:sz="0" w:space="0" w:color="auto"/>
      </w:divBdr>
    </w:div>
    <w:div w:id="192573218">
      <w:bodyDiv w:val="1"/>
      <w:marLeft w:val="0"/>
      <w:marRight w:val="0"/>
      <w:marTop w:val="0"/>
      <w:marBottom w:val="0"/>
      <w:divBdr>
        <w:top w:val="none" w:sz="0" w:space="0" w:color="auto"/>
        <w:left w:val="none" w:sz="0" w:space="0" w:color="auto"/>
        <w:bottom w:val="none" w:sz="0" w:space="0" w:color="auto"/>
        <w:right w:val="none" w:sz="0" w:space="0" w:color="auto"/>
      </w:divBdr>
    </w:div>
    <w:div w:id="336157317">
      <w:bodyDiv w:val="1"/>
      <w:marLeft w:val="0"/>
      <w:marRight w:val="0"/>
      <w:marTop w:val="0"/>
      <w:marBottom w:val="0"/>
      <w:divBdr>
        <w:top w:val="none" w:sz="0" w:space="0" w:color="auto"/>
        <w:left w:val="none" w:sz="0" w:space="0" w:color="auto"/>
        <w:bottom w:val="none" w:sz="0" w:space="0" w:color="auto"/>
        <w:right w:val="none" w:sz="0" w:space="0" w:color="auto"/>
      </w:divBdr>
    </w:div>
    <w:div w:id="345055304">
      <w:bodyDiv w:val="1"/>
      <w:marLeft w:val="0"/>
      <w:marRight w:val="0"/>
      <w:marTop w:val="0"/>
      <w:marBottom w:val="0"/>
      <w:divBdr>
        <w:top w:val="none" w:sz="0" w:space="0" w:color="auto"/>
        <w:left w:val="none" w:sz="0" w:space="0" w:color="auto"/>
        <w:bottom w:val="none" w:sz="0" w:space="0" w:color="auto"/>
        <w:right w:val="none" w:sz="0" w:space="0" w:color="auto"/>
      </w:divBdr>
    </w:div>
    <w:div w:id="348920620">
      <w:bodyDiv w:val="1"/>
      <w:marLeft w:val="0"/>
      <w:marRight w:val="0"/>
      <w:marTop w:val="0"/>
      <w:marBottom w:val="0"/>
      <w:divBdr>
        <w:top w:val="none" w:sz="0" w:space="0" w:color="auto"/>
        <w:left w:val="none" w:sz="0" w:space="0" w:color="auto"/>
        <w:bottom w:val="none" w:sz="0" w:space="0" w:color="auto"/>
        <w:right w:val="none" w:sz="0" w:space="0" w:color="auto"/>
      </w:divBdr>
    </w:div>
    <w:div w:id="457263684">
      <w:bodyDiv w:val="1"/>
      <w:marLeft w:val="0"/>
      <w:marRight w:val="0"/>
      <w:marTop w:val="0"/>
      <w:marBottom w:val="0"/>
      <w:divBdr>
        <w:top w:val="none" w:sz="0" w:space="0" w:color="auto"/>
        <w:left w:val="none" w:sz="0" w:space="0" w:color="auto"/>
        <w:bottom w:val="none" w:sz="0" w:space="0" w:color="auto"/>
        <w:right w:val="none" w:sz="0" w:space="0" w:color="auto"/>
      </w:divBdr>
    </w:div>
    <w:div w:id="560823452">
      <w:bodyDiv w:val="1"/>
      <w:marLeft w:val="0"/>
      <w:marRight w:val="0"/>
      <w:marTop w:val="0"/>
      <w:marBottom w:val="0"/>
      <w:divBdr>
        <w:top w:val="none" w:sz="0" w:space="0" w:color="auto"/>
        <w:left w:val="none" w:sz="0" w:space="0" w:color="auto"/>
        <w:bottom w:val="none" w:sz="0" w:space="0" w:color="auto"/>
        <w:right w:val="none" w:sz="0" w:space="0" w:color="auto"/>
      </w:divBdr>
    </w:div>
    <w:div w:id="635794523">
      <w:bodyDiv w:val="1"/>
      <w:marLeft w:val="0"/>
      <w:marRight w:val="0"/>
      <w:marTop w:val="0"/>
      <w:marBottom w:val="0"/>
      <w:divBdr>
        <w:top w:val="none" w:sz="0" w:space="0" w:color="auto"/>
        <w:left w:val="none" w:sz="0" w:space="0" w:color="auto"/>
        <w:bottom w:val="none" w:sz="0" w:space="0" w:color="auto"/>
        <w:right w:val="none" w:sz="0" w:space="0" w:color="auto"/>
      </w:divBdr>
    </w:div>
    <w:div w:id="754743387">
      <w:bodyDiv w:val="1"/>
      <w:marLeft w:val="0"/>
      <w:marRight w:val="0"/>
      <w:marTop w:val="0"/>
      <w:marBottom w:val="0"/>
      <w:divBdr>
        <w:top w:val="none" w:sz="0" w:space="0" w:color="auto"/>
        <w:left w:val="none" w:sz="0" w:space="0" w:color="auto"/>
        <w:bottom w:val="none" w:sz="0" w:space="0" w:color="auto"/>
        <w:right w:val="none" w:sz="0" w:space="0" w:color="auto"/>
      </w:divBdr>
    </w:div>
    <w:div w:id="794568714">
      <w:bodyDiv w:val="1"/>
      <w:marLeft w:val="0"/>
      <w:marRight w:val="0"/>
      <w:marTop w:val="0"/>
      <w:marBottom w:val="0"/>
      <w:divBdr>
        <w:top w:val="none" w:sz="0" w:space="0" w:color="auto"/>
        <w:left w:val="none" w:sz="0" w:space="0" w:color="auto"/>
        <w:bottom w:val="none" w:sz="0" w:space="0" w:color="auto"/>
        <w:right w:val="none" w:sz="0" w:space="0" w:color="auto"/>
      </w:divBdr>
    </w:div>
    <w:div w:id="886836163">
      <w:bodyDiv w:val="1"/>
      <w:marLeft w:val="0"/>
      <w:marRight w:val="0"/>
      <w:marTop w:val="0"/>
      <w:marBottom w:val="0"/>
      <w:divBdr>
        <w:top w:val="none" w:sz="0" w:space="0" w:color="auto"/>
        <w:left w:val="none" w:sz="0" w:space="0" w:color="auto"/>
        <w:bottom w:val="none" w:sz="0" w:space="0" w:color="auto"/>
        <w:right w:val="none" w:sz="0" w:space="0" w:color="auto"/>
      </w:divBdr>
    </w:div>
    <w:div w:id="890732243">
      <w:bodyDiv w:val="1"/>
      <w:marLeft w:val="0"/>
      <w:marRight w:val="0"/>
      <w:marTop w:val="0"/>
      <w:marBottom w:val="0"/>
      <w:divBdr>
        <w:top w:val="none" w:sz="0" w:space="0" w:color="auto"/>
        <w:left w:val="none" w:sz="0" w:space="0" w:color="auto"/>
        <w:bottom w:val="none" w:sz="0" w:space="0" w:color="auto"/>
        <w:right w:val="none" w:sz="0" w:space="0" w:color="auto"/>
      </w:divBdr>
    </w:div>
    <w:div w:id="936056715">
      <w:bodyDiv w:val="1"/>
      <w:marLeft w:val="0"/>
      <w:marRight w:val="0"/>
      <w:marTop w:val="0"/>
      <w:marBottom w:val="0"/>
      <w:divBdr>
        <w:top w:val="none" w:sz="0" w:space="0" w:color="auto"/>
        <w:left w:val="none" w:sz="0" w:space="0" w:color="auto"/>
        <w:bottom w:val="none" w:sz="0" w:space="0" w:color="auto"/>
        <w:right w:val="none" w:sz="0" w:space="0" w:color="auto"/>
      </w:divBdr>
    </w:div>
    <w:div w:id="967399627">
      <w:bodyDiv w:val="1"/>
      <w:marLeft w:val="0"/>
      <w:marRight w:val="0"/>
      <w:marTop w:val="0"/>
      <w:marBottom w:val="0"/>
      <w:divBdr>
        <w:top w:val="none" w:sz="0" w:space="0" w:color="auto"/>
        <w:left w:val="none" w:sz="0" w:space="0" w:color="auto"/>
        <w:bottom w:val="none" w:sz="0" w:space="0" w:color="auto"/>
        <w:right w:val="none" w:sz="0" w:space="0" w:color="auto"/>
      </w:divBdr>
    </w:div>
    <w:div w:id="1032269168">
      <w:bodyDiv w:val="1"/>
      <w:marLeft w:val="0"/>
      <w:marRight w:val="0"/>
      <w:marTop w:val="0"/>
      <w:marBottom w:val="0"/>
      <w:divBdr>
        <w:top w:val="none" w:sz="0" w:space="0" w:color="auto"/>
        <w:left w:val="none" w:sz="0" w:space="0" w:color="auto"/>
        <w:bottom w:val="none" w:sz="0" w:space="0" w:color="auto"/>
        <w:right w:val="none" w:sz="0" w:space="0" w:color="auto"/>
      </w:divBdr>
    </w:div>
    <w:div w:id="1092773930">
      <w:bodyDiv w:val="1"/>
      <w:marLeft w:val="0"/>
      <w:marRight w:val="0"/>
      <w:marTop w:val="0"/>
      <w:marBottom w:val="0"/>
      <w:divBdr>
        <w:top w:val="none" w:sz="0" w:space="0" w:color="auto"/>
        <w:left w:val="none" w:sz="0" w:space="0" w:color="auto"/>
        <w:bottom w:val="none" w:sz="0" w:space="0" w:color="auto"/>
        <w:right w:val="none" w:sz="0" w:space="0" w:color="auto"/>
      </w:divBdr>
    </w:div>
    <w:div w:id="1104417819">
      <w:bodyDiv w:val="1"/>
      <w:marLeft w:val="0"/>
      <w:marRight w:val="0"/>
      <w:marTop w:val="0"/>
      <w:marBottom w:val="0"/>
      <w:divBdr>
        <w:top w:val="none" w:sz="0" w:space="0" w:color="auto"/>
        <w:left w:val="none" w:sz="0" w:space="0" w:color="auto"/>
        <w:bottom w:val="none" w:sz="0" w:space="0" w:color="auto"/>
        <w:right w:val="none" w:sz="0" w:space="0" w:color="auto"/>
      </w:divBdr>
    </w:div>
    <w:div w:id="1204438558">
      <w:bodyDiv w:val="1"/>
      <w:marLeft w:val="0"/>
      <w:marRight w:val="0"/>
      <w:marTop w:val="0"/>
      <w:marBottom w:val="0"/>
      <w:divBdr>
        <w:top w:val="none" w:sz="0" w:space="0" w:color="auto"/>
        <w:left w:val="none" w:sz="0" w:space="0" w:color="auto"/>
        <w:bottom w:val="none" w:sz="0" w:space="0" w:color="auto"/>
        <w:right w:val="none" w:sz="0" w:space="0" w:color="auto"/>
      </w:divBdr>
    </w:div>
    <w:div w:id="1269049796">
      <w:bodyDiv w:val="1"/>
      <w:marLeft w:val="0"/>
      <w:marRight w:val="0"/>
      <w:marTop w:val="0"/>
      <w:marBottom w:val="0"/>
      <w:divBdr>
        <w:top w:val="none" w:sz="0" w:space="0" w:color="auto"/>
        <w:left w:val="none" w:sz="0" w:space="0" w:color="auto"/>
        <w:bottom w:val="none" w:sz="0" w:space="0" w:color="auto"/>
        <w:right w:val="none" w:sz="0" w:space="0" w:color="auto"/>
      </w:divBdr>
    </w:div>
    <w:div w:id="1304120766">
      <w:bodyDiv w:val="1"/>
      <w:marLeft w:val="0"/>
      <w:marRight w:val="0"/>
      <w:marTop w:val="0"/>
      <w:marBottom w:val="0"/>
      <w:divBdr>
        <w:top w:val="none" w:sz="0" w:space="0" w:color="auto"/>
        <w:left w:val="none" w:sz="0" w:space="0" w:color="auto"/>
        <w:bottom w:val="none" w:sz="0" w:space="0" w:color="auto"/>
        <w:right w:val="none" w:sz="0" w:space="0" w:color="auto"/>
      </w:divBdr>
    </w:div>
    <w:div w:id="1365250842">
      <w:bodyDiv w:val="1"/>
      <w:marLeft w:val="0"/>
      <w:marRight w:val="0"/>
      <w:marTop w:val="0"/>
      <w:marBottom w:val="0"/>
      <w:divBdr>
        <w:top w:val="none" w:sz="0" w:space="0" w:color="auto"/>
        <w:left w:val="none" w:sz="0" w:space="0" w:color="auto"/>
        <w:bottom w:val="none" w:sz="0" w:space="0" w:color="auto"/>
        <w:right w:val="none" w:sz="0" w:space="0" w:color="auto"/>
      </w:divBdr>
    </w:div>
    <w:div w:id="1410883649">
      <w:bodyDiv w:val="1"/>
      <w:marLeft w:val="0"/>
      <w:marRight w:val="0"/>
      <w:marTop w:val="0"/>
      <w:marBottom w:val="0"/>
      <w:divBdr>
        <w:top w:val="none" w:sz="0" w:space="0" w:color="auto"/>
        <w:left w:val="none" w:sz="0" w:space="0" w:color="auto"/>
        <w:bottom w:val="none" w:sz="0" w:space="0" w:color="auto"/>
        <w:right w:val="none" w:sz="0" w:space="0" w:color="auto"/>
      </w:divBdr>
    </w:div>
    <w:div w:id="1474054974">
      <w:bodyDiv w:val="1"/>
      <w:marLeft w:val="0"/>
      <w:marRight w:val="0"/>
      <w:marTop w:val="0"/>
      <w:marBottom w:val="0"/>
      <w:divBdr>
        <w:top w:val="none" w:sz="0" w:space="0" w:color="auto"/>
        <w:left w:val="none" w:sz="0" w:space="0" w:color="auto"/>
        <w:bottom w:val="none" w:sz="0" w:space="0" w:color="auto"/>
        <w:right w:val="none" w:sz="0" w:space="0" w:color="auto"/>
      </w:divBdr>
    </w:div>
    <w:div w:id="1486123338">
      <w:bodyDiv w:val="1"/>
      <w:marLeft w:val="0"/>
      <w:marRight w:val="0"/>
      <w:marTop w:val="0"/>
      <w:marBottom w:val="0"/>
      <w:divBdr>
        <w:top w:val="none" w:sz="0" w:space="0" w:color="auto"/>
        <w:left w:val="none" w:sz="0" w:space="0" w:color="auto"/>
        <w:bottom w:val="none" w:sz="0" w:space="0" w:color="auto"/>
        <w:right w:val="none" w:sz="0" w:space="0" w:color="auto"/>
      </w:divBdr>
    </w:div>
    <w:div w:id="1600914051">
      <w:bodyDiv w:val="1"/>
      <w:marLeft w:val="0"/>
      <w:marRight w:val="0"/>
      <w:marTop w:val="0"/>
      <w:marBottom w:val="0"/>
      <w:divBdr>
        <w:top w:val="none" w:sz="0" w:space="0" w:color="auto"/>
        <w:left w:val="none" w:sz="0" w:space="0" w:color="auto"/>
        <w:bottom w:val="none" w:sz="0" w:space="0" w:color="auto"/>
        <w:right w:val="none" w:sz="0" w:space="0" w:color="auto"/>
      </w:divBdr>
    </w:div>
    <w:div w:id="1622760513">
      <w:bodyDiv w:val="1"/>
      <w:marLeft w:val="0"/>
      <w:marRight w:val="0"/>
      <w:marTop w:val="0"/>
      <w:marBottom w:val="0"/>
      <w:divBdr>
        <w:top w:val="none" w:sz="0" w:space="0" w:color="auto"/>
        <w:left w:val="none" w:sz="0" w:space="0" w:color="auto"/>
        <w:bottom w:val="none" w:sz="0" w:space="0" w:color="auto"/>
        <w:right w:val="none" w:sz="0" w:space="0" w:color="auto"/>
      </w:divBdr>
    </w:div>
    <w:div w:id="1655451725">
      <w:bodyDiv w:val="1"/>
      <w:marLeft w:val="0"/>
      <w:marRight w:val="0"/>
      <w:marTop w:val="0"/>
      <w:marBottom w:val="0"/>
      <w:divBdr>
        <w:top w:val="none" w:sz="0" w:space="0" w:color="auto"/>
        <w:left w:val="none" w:sz="0" w:space="0" w:color="auto"/>
        <w:bottom w:val="none" w:sz="0" w:space="0" w:color="auto"/>
        <w:right w:val="none" w:sz="0" w:space="0" w:color="auto"/>
      </w:divBdr>
    </w:div>
    <w:div w:id="1662006693">
      <w:bodyDiv w:val="1"/>
      <w:marLeft w:val="0"/>
      <w:marRight w:val="0"/>
      <w:marTop w:val="0"/>
      <w:marBottom w:val="0"/>
      <w:divBdr>
        <w:top w:val="none" w:sz="0" w:space="0" w:color="auto"/>
        <w:left w:val="none" w:sz="0" w:space="0" w:color="auto"/>
        <w:bottom w:val="none" w:sz="0" w:space="0" w:color="auto"/>
        <w:right w:val="none" w:sz="0" w:space="0" w:color="auto"/>
      </w:divBdr>
    </w:div>
    <w:div w:id="1811627427">
      <w:bodyDiv w:val="1"/>
      <w:marLeft w:val="0"/>
      <w:marRight w:val="0"/>
      <w:marTop w:val="0"/>
      <w:marBottom w:val="0"/>
      <w:divBdr>
        <w:top w:val="none" w:sz="0" w:space="0" w:color="auto"/>
        <w:left w:val="none" w:sz="0" w:space="0" w:color="auto"/>
        <w:bottom w:val="none" w:sz="0" w:space="0" w:color="auto"/>
        <w:right w:val="none" w:sz="0" w:space="0" w:color="auto"/>
      </w:divBdr>
    </w:div>
    <w:div w:id="1822772665">
      <w:bodyDiv w:val="1"/>
      <w:marLeft w:val="0"/>
      <w:marRight w:val="0"/>
      <w:marTop w:val="0"/>
      <w:marBottom w:val="0"/>
      <w:divBdr>
        <w:top w:val="none" w:sz="0" w:space="0" w:color="auto"/>
        <w:left w:val="none" w:sz="0" w:space="0" w:color="auto"/>
        <w:bottom w:val="none" w:sz="0" w:space="0" w:color="auto"/>
        <w:right w:val="none" w:sz="0" w:space="0" w:color="auto"/>
      </w:divBdr>
    </w:div>
    <w:div w:id="2001155361">
      <w:bodyDiv w:val="1"/>
      <w:marLeft w:val="0"/>
      <w:marRight w:val="0"/>
      <w:marTop w:val="0"/>
      <w:marBottom w:val="0"/>
      <w:divBdr>
        <w:top w:val="none" w:sz="0" w:space="0" w:color="auto"/>
        <w:left w:val="none" w:sz="0" w:space="0" w:color="auto"/>
        <w:bottom w:val="none" w:sz="0" w:space="0" w:color="auto"/>
        <w:right w:val="none" w:sz="0" w:space="0" w:color="auto"/>
      </w:divBdr>
    </w:div>
    <w:div w:id="2094088495">
      <w:bodyDiv w:val="1"/>
      <w:marLeft w:val="0"/>
      <w:marRight w:val="0"/>
      <w:marTop w:val="0"/>
      <w:marBottom w:val="0"/>
      <w:divBdr>
        <w:top w:val="none" w:sz="0" w:space="0" w:color="auto"/>
        <w:left w:val="none" w:sz="0" w:space="0" w:color="auto"/>
        <w:bottom w:val="none" w:sz="0" w:space="0" w:color="auto"/>
        <w:right w:val="none" w:sz="0" w:space="0" w:color="auto"/>
      </w:divBdr>
    </w:div>
    <w:div w:id="2098212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constellation.com.br/wp-content/uploads/2019/08/CONSTELLATION-ICATU-70-%20PREV-FIM.pdf" TargetMode="External"/><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3.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fontTable" Target="fontTable.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2561</TotalTime>
  <Pages>23</Pages>
  <Words>6153</Words>
  <Characters>33231</Characters>
  <Application>Microsoft Office Word</Application>
  <DocSecurity>0</DocSecurity>
  <Lines>276</Lines>
  <Paragraphs>78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Renato Penna Magoulas Bacha</dc:creator>
  <cp:keywords/>
  <dc:description/>
  <cp:lastModifiedBy>Renato Bacha</cp:lastModifiedBy>
  <cp:revision>27</cp:revision>
  <dcterms:created xsi:type="dcterms:W3CDTF">2021-09-30T18:42:00Z</dcterms:created>
  <dcterms:modified xsi:type="dcterms:W3CDTF">2021-10-03T14:55:00Z</dcterms:modified>
</cp:coreProperties>
</file>